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ind w:firstLine="3240" w:firstLineChars="900"/>
        <w:rPr>
          <w:rFonts w:hAnsi="宋体"/>
          <w:color w:val="000000"/>
          <w:sz w:val="36"/>
          <w:szCs w:val="36"/>
        </w:rPr>
      </w:pPr>
    </w:p>
    <w:p>
      <w:pPr>
        <w:snapToGrid w:val="0"/>
        <w:spacing w:line="360" w:lineRule="auto"/>
        <w:ind w:firstLine="360" w:firstLineChars="100"/>
        <w:jc w:val="center"/>
        <w:rPr>
          <w:rFonts w:hAnsi="宋体" w:cs="宋体"/>
          <w:bCs/>
          <w:sz w:val="36"/>
          <w:szCs w:val="36"/>
        </w:rPr>
      </w:pPr>
      <w:r>
        <w:rPr>
          <w:rFonts w:hint="eastAsia" w:hAnsi="宋体" w:cs="宋体"/>
          <w:bCs/>
          <w:sz w:val="36"/>
          <w:szCs w:val="36"/>
          <w:lang w:val="en-US" w:eastAsia="zh-CN"/>
        </w:rPr>
        <w:t>2022年度四川铁道职业学院期刊</w:t>
      </w:r>
      <w:r>
        <w:rPr>
          <w:rFonts w:hint="eastAsia" w:hAnsi="宋体" w:cs="宋体"/>
          <w:bCs/>
          <w:sz w:val="36"/>
          <w:szCs w:val="36"/>
        </w:rPr>
        <w:t>采购</w:t>
      </w:r>
    </w:p>
    <w:p>
      <w:pPr>
        <w:snapToGrid w:val="0"/>
        <w:spacing w:line="360" w:lineRule="auto"/>
        <w:ind w:firstLine="3300" w:firstLineChars="1100"/>
        <w:rPr>
          <w:rFonts w:hint="default" w:hAnsi="宋体" w:eastAsia="宋体" w:cs="宋体"/>
          <w:bCs/>
          <w:sz w:val="30"/>
          <w:szCs w:val="30"/>
          <w:lang w:val="en-US" w:eastAsia="zh-CN"/>
        </w:rPr>
      </w:pPr>
      <w:r>
        <w:rPr>
          <w:rFonts w:hint="eastAsia" w:hAnsi="宋体" w:cs="宋体"/>
          <w:bCs/>
          <w:sz w:val="30"/>
          <w:szCs w:val="30"/>
        </w:rPr>
        <w:t>采购编号：TZY-</w:t>
      </w:r>
      <w:r>
        <w:rPr>
          <w:rFonts w:hint="eastAsia" w:hAnsi="宋体" w:cs="宋体"/>
          <w:bCs/>
          <w:sz w:val="30"/>
          <w:szCs w:val="30"/>
          <w:lang w:val="en-US" w:eastAsia="zh-CN"/>
        </w:rPr>
        <w:t>2021021</w:t>
      </w:r>
    </w:p>
    <w:p>
      <w:pPr>
        <w:snapToGrid w:val="0"/>
        <w:spacing w:line="360" w:lineRule="auto"/>
        <w:jc w:val="center"/>
        <w:rPr>
          <w:rFonts w:hAnsi="宋体" w:cs="宋体"/>
          <w:b/>
          <w:sz w:val="72"/>
          <w:szCs w:val="72"/>
        </w:rPr>
      </w:pPr>
    </w:p>
    <w:p>
      <w:pPr>
        <w:snapToGrid w:val="0"/>
        <w:spacing w:line="360" w:lineRule="auto"/>
        <w:jc w:val="center"/>
        <w:rPr>
          <w:rFonts w:hAnsi="宋体" w:cs="宋体"/>
          <w:b/>
          <w:sz w:val="72"/>
          <w:szCs w:val="72"/>
        </w:rPr>
      </w:pPr>
      <w:r>
        <w:rPr>
          <w:rFonts w:hint="eastAsia" w:hAnsi="宋体" w:cs="宋体"/>
          <w:b/>
          <w:sz w:val="72"/>
          <w:szCs w:val="72"/>
        </w:rPr>
        <w:t>招</w:t>
      </w:r>
    </w:p>
    <w:p>
      <w:pPr>
        <w:snapToGrid w:val="0"/>
        <w:spacing w:line="360" w:lineRule="auto"/>
        <w:jc w:val="center"/>
        <w:rPr>
          <w:rFonts w:hAnsi="宋体" w:cs="宋体"/>
          <w:b/>
          <w:sz w:val="18"/>
          <w:szCs w:val="18"/>
        </w:rPr>
      </w:pPr>
    </w:p>
    <w:p>
      <w:pPr>
        <w:snapToGrid w:val="0"/>
        <w:spacing w:line="360" w:lineRule="auto"/>
        <w:jc w:val="center"/>
        <w:rPr>
          <w:rFonts w:hAnsi="宋体" w:cs="宋体"/>
          <w:b/>
          <w:sz w:val="72"/>
          <w:szCs w:val="72"/>
        </w:rPr>
      </w:pPr>
      <w:r>
        <w:rPr>
          <w:rFonts w:hint="eastAsia" w:hAnsi="宋体" w:cs="宋体"/>
          <w:b/>
          <w:sz w:val="72"/>
          <w:szCs w:val="72"/>
        </w:rPr>
        <w:t>标</w:t>
      </w:r>
    </w:p>
    <w:p>
      <w:pPr>
        <w:snapToGrid w:val="0"/>
        <w:spacing w:line="360" w:lineRule="auto"/>
        <w:jc w:val="center"/>
        <w:rPr>
          <w:rFonts w:hAnsi="宋体" w:cs="宋体"/>
          <w:b/>
          <w:sz w:val="18"/>
          <w:szCs w:val="18"/>
        </w:rPr>
      </w:pPr>
    </w:p>
    <w:p>
      <w:pPr>
        <w:snapToGrid w:val="0"/>
        <w:spacing w:line="360" w:lineRule="auto"/>
        <w:jc w:val="center"/>
        <w:rPr>
          <w:rFonts w:hAnsi="宋体" w:cs="宋体"/>
          <w:b/>
          <w:sz w:val="72"/>
          <w:szCs w:val="72"/>
        </w:rPr>
      </w:pPr>
      <w:r>
        <w:rPr>
          <w:rFonts w:hint="eastAsia" w:hAnsi="宋体" w:cs="宋体"/>
          <w:b/>
          <w:sz w:val="72"/>
          <w:szCs w:val="72"/>
        </w:rPr>
        <w:t>文</w:t>
      </w:r>
    </w:p>
    <w:p>
      <w:pPr>
        <w:snapToGrid w:val="0"/>
        <w:spacing w:line="360" w:lineRule="auto"/>
        <w:jc w:val="center"/>
        <w:rPr>
          <w:rFonts w:hAnsi="宋体" w:cs="宋体"/>
          <w:b/>
          <w:sz w:val="18"/>
          <w:szCs w:val="18"/>
        </w:rPr>
      </w:pPr>
    </w:p>
    <w:p>
      <w:pPr>
        <w:snapToGrid w:val="0"/>
        <w:spacing w:line="360" w:lineRule="auto"/>
        <w:jc w:val="center"/>
        <w:rPr>
          <w:rFonts w:hAnsi="宋体" w:cs="宋体"/>
          <w:b/>
          <w:sz w:val="52"/>
          <w:szCs w:val="52"/>
        </w:rPr>
      </w:pPr>
      <w:r>
        <w:rPr>
          <w:rFonts w:hint="eastAsia" w:hAnsi="宋体" w:cs="宋体"/>
          <w:b/>
          <w:sz w:val="72"/>
          <w:szCs w:val="72"/>
        </w:rPr>
        <w:t>件</w:t>
      </w:r>
    </w:p>
    <w:p>
      <w:pPr>
        <w:autoSpaceDE w:val="0"/>
        <w:autoSpaceDN w:val="0"/>
        <w:adjustRightInd w:val="0"/>
        <w:snapToGrid w:val="0"/>
        <w:spacing w:line="360" w:lineRule="auto"/>
        <w:jc w:val="center"/>
        <w:rPr>
          <w:rFonts w:cs="宋体"/>
          <w:sz w:val="30"/>
          <w:szCs w:val="30"/>
        </w:rPr>
      </w:pPr>
    </w:p>
    <w:p>
      <w:pPr>
        <w:autoSpaceDE w:val="0"/>
        <w:autoSpaceDN w:val="0"/>
        <w:adjustRightInd w:val="0"/>
        <w:snapToGrid w:val="0"/>
        <w:spacing w:line="360" w:lineRule="auto"/>
        <w:jc w:val="center"/>
        <w:rPr>
          <w:rFonts w:cs="宋体"/>
          <w:sz w:val="30"/>
          <w:szCs w:val="30"/>
        </w:rPr>
      </w:pPr>
      <w:r>
        <w:rPr>
          <w:rFonts w:hint="eastAsia" w:cs="宋体"/>
          <w:sz w:val="30"/>
          <w:szCs w:val="30"/>
        </w:rPr>
        <w:t>采   购   人: 四川铁道职业学院</w:t>
      </w:r>
    </w:p>
    <w:p>
      <w:pPr>
        <w:snapToGrid w:val="0"/>
        <w:spacing w:line="360" w:lineRule="auto"/>
        <w:jc w:val="center"/>
        <w:rPr>
          <w:rFonts w:hAnsi="宋体" w:cs="宋体"/>
          <w:b/>
          <w:sz w:val="30"/>
          <w:szCs w:val="30"/>
        </w:rPr>
      </w:pPr>
    </w:p>
    <w:p>
      <w:pPr>
        <w:snapToGrid w:val="0"/>
        <w:spacing w:line="360" w:lineRule="auto"/>
        <w:jc w:val="center"/>
        <w:rPr>
          <w:rFonts w:hAnsi="宋体" w:cs="宋体"/>
          <w:bCs/>
          <w:sz w:val="30"/>
          <w:szCs w:val="30"/>
        </w:rPr>
      </w:pPr>
      <w:r>
        <w:rPr>
          <w:rFonts w:hint="eastAsia" w:hAnsi="宋体" w:cs="宋体"/>
          <w:bCs/>
          <w:sz w:val="30"/>
          <w:szCs w:val="30"/>
        </w:rPr>
        <w:t>四川·成都</w:t>
      </w:r>
    </w:p>
    <w:p>
      <w:pPr>
        <w:snapToGrid w:val="0"/>
        <w:spacing w:line="360" w:lineRule="auto"/>
        <w:jc w:val="center"/>
        <w:rPr>
          <w:rFonts w:hAnsi="宋体" w:cs="宋体"/>
          <w:bCs/>
          <w:sz w:val="30"/>
          <w:szCs w:val="30"/>
          <w:lang w:val="zh-CN"/>
        </w:rPr>
      </w:pPr>
      <w:r>
        <w:rPr>
          <w:rFonts w:hint="eastAsia" w:hAnsi="宋体" w:cs="宋体"/>
          <w:bCs/>
          <w:sz w:val="30"/>
          <w:szCs w:val="30"/>
        </w:rPr>
        <w:t>2021</w:t>
      </w:r>
      <w:r>
        <w:rPr>
          <w:rFonts w:hint="eastAsia" w:hAnsi="宋体" w:cs="宋体"/>
          <w:bCs/>
          <w:sz w:val="30"/>
          <w:szCs w:val="30"/>
          <w:lang w:val="zh-CN"/>
        </w:rPr>
        <w:t>年 10</w:t>
      </w:r>
      <w:r>
        <w:rPr>
          <w:rFonts w:hint="eastAsia" w:hAnsi="宋体" w:cs="宋体"/>
          <w:bCs/>
          <w:sz w:val="30"/>
          <w:szCs w:val="30"/>
        </w:rPr>
        <w:t xml:space="preserve"> </w:t>
      </w:r>
      <w:r>
        <w:rPr>
          <w:rFonts w:hint="eastAsia" w:hAnsi="宋体" w:cs="宋体"/>
          <w:bCs/>
          <w:sz w:val="30"/>
          <w:szCs w:val="30"/>
          <w:lang w:val="zh-CN"/>
        </w:rPr>
        <w:t>月</w:t>
      </w:r>
      <w:bookmarkStart w:id="0" w:name="_Hlt101233737"/>
      <w:bookmarkEnd w:id="0"/>
      <w:bookmarkStart w:id="1" w:name="_Hlt101843627"/>
      <w:bookmarkEnd w:id="1"/>
    </w:p>
    <w:p>
      <w:pPr>
        <w:snapToGrid w:val="0"/>
        <w:spacing w:line="360" w:lineRule="auto"/>
        <w:jc w:val="center"/>
        <w:rPr>
          <w:rFonts w:hAnsi="宋体" w:cs="宋体"/>
          <w:bCs/>
          <w:sz w:val="30"/>
          <w:szCs w:val="30"/>
          <w:lang w:val="zh-CN"/>
        </w:rPr>
      </w:pPr>
    </w:p>
    <w:p>
      <w:pPr>
        <w:snapToGrid w:val="0"/>
        <w:spacing w:line="360" w:lineRule="auto"/>
        <w:jc w:val="center"/>
        <w:rPr>
          <w:rFonts w:hAnsi="宋体" w:cs="宋体"/>
          <w:bCs/>
          <w:sz w:val="30"/>
          <w:szCs w:val="30"/>
        </w:rPr>
      </w:pPr>
    </w:p>
    <w:p>
      <w:pPr>
        <w:pStyle w:val="5"/>
        <w:snapToGrid w:val="0"/>
        <w:spacing w:before="0" w:after="0" w:line="360" w:lineRule="auto"/>
        <w:jc w:val="center"/>
        <w:rPr>
          <w:rStyle w:val="27"/>
          <w:rFonts w:ascii="宋体" w:hAnsi="宋体" w:cs="宋体"/>
          <w:color w:val="auto"/>
          <w:kern w:val="2"/>
          <w:sz w:val="44"/>
          <w:szCs w:val="44"/>
          <w:u w:val="none"/>
        </w:rPr>
      </w:pPr>
      <w:r>
        <w:rPr>
          <w:rStyle w:val="27"/>
          <w:rFonts w:hint="eastAsia" w:ascii="宋体" w:hAnsi="宋体" w:cs="宋体"/>
          <w:color w:val="auto"/>
          <w:kern w:val="2"/>
          <w:sz w:val="44"/>
          <w:szCs w:val="44"/>
          <w:u w:val="none"/>
        </w:rPr>
        <w:t>目    录</w:t>
      </w:r>
    </w:p>
    <w:p/>
    <w:p>
      <w:pPr>
        <w:pStyle w:val="16"/>
        <w:tabs>
          <w:tab w:val="right" w:leader="dot" w:pos="9175"/>
        </w:tabs>
        <w:snapToGrid w:val="0"/>
        <w:spacing w:line="480" w:lineRule="auto"/>
        <w:ind w:firstLine="840" w:firstLineChars="300"/>
        <w:rPr>
          <w:rFonts w:hAnsi="宋体" w:cs="宋体"/>
          <w:sz w:val="28"/>
          <w:szCs w:val="28"/>
        </w:rPr>
      </w:pPr>
      <w:r>
        <w:rPr>
          <w:rFonts w:hint="eastAsia" w:hAnsi="宋体" w:cs="宋体"/>
          <w:sz w:val="28"/>
          <w:szCs w:val="28"/>
        </w:rPr>
        <w:fldChar w:fldCharType="begin"/>
      </w:r>
      <w:r>
        <w:rPr>
          <w:rFonts w:hint="eastAsia" w:hAnsi="宋体" w:cs="宋体"/>
          <w:sz w:val="28"/>
          <w:szCs w:val="28"/>
        </w:rPr>
        <w:instrText xml:space="preserve"> TOC \o "1-1" \h \z \u </w:instrText>
      </w:r>
      <w:r>
        <w:rPr>
          <w:rFonts w:hint="eastAsia" w:hAnsi="宋体" w:cs="宋体"/>
          <w:sz w:val="28"/>
          <w:szCs w:val="28"/>
        </w:rPr>
        <w:fldChar w:fldCharType="separate"/>
      </w:r>
      <w:r>
        <w:fldChar w:fldCharType="begin"/>
      </w:r>
      <w:r>
        <w:instrText xml:space="preserve"> HYPERLINK \l "_Toc358883241" </w:instrText>
      </w:r>
      <w:r>
        <w:fldChar w:fldCharType="separate"/>
      </w:r>
      <w:r>
        <w:rPr>
          <w:rFonts w:hint="eastAsia" w:hAnsi="宋体" w:cs="宋体"/>
          <w:sz w:val="28"/>
          <w:szCs w:val="28"/>
        </w:rPr>
        <w:t>第一章  投标邀请</w:t>
      </w:r>
      <w:r>
        <w:rPr>
          <w:rFonts w:hint="eastAsia" w:hAnsi="宋体" w:cs="宋体"/>
          <w:sz w:val="28"/>
          <w:szCs w:val="28"/>
        </w:rPr>
        <w:tab/>
      </w:r>
      <w:r>
        <w:rPr>
          <w:rFonts w:hint="eastAsia" w:hAnsi="宋体" w:cs="宋体"/>
          <w:sz w:val="28"/>
          <w:szCs w:val="28"/>
        </w:rPr>
        <w:t>1</w:t>
      </w:r>
      <w:r>
        <w:rPr>
          <w:rFonts w:hint="eastAsia" w:hAnsi="宋体" w:cs="宋体"/>
          <w:sz w:val="28"/>
          <w:szCs w:val="28"/>
        </w:rPr>
        <w:fldChar w:fldCharType="end"/>
      </w:r>
    </w:p>
    <w:p>
      <w:pPr>
        <w:pStyle w:val="16"/>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"_Toc358883242" </w:instrText>
      </w:r>
      <w:r>
        <w:fldChar w:fldCharType="separate"/>
      </w:r>
      <w:r>
        <w:rPr>
          <w:rFonts w:hint="eastAsia" w:hAnsi="宋体" w:cs="宋体"/>
          <w:sz w:val="28"/>
          <w:szCs w:val="28"/>
        </w:rPr>
        <w:t>第二章  投标人须知</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lang w:val="en-US" w:eastAsia="zh-CN"/>
        </w:rPr>
        <w:t>2</w:t>
      </w:r>
    </w:p>
    <w:p>
      <w:pPr>
        <w:pStyle w:val="16"/>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"_Toc358883243" </w:instrText>
      </w:r>
      <w:r>
        <w:fldChar w:fldCharType="separate"/>
      </w:r>
      <w:r>
        <w:rPr>
          <w:rFonts w:hint="eastAsia" w:hAnsi="宋体" w:cs="宋体"/>
          <w:sz w:val="28"/>
          <w:szCs w:val="28"/>
        </w:rPr>
        <w:t>第三章  投标文件格式</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lang w:val="en-US" w:eastAsia="zh-CN"/>
        </w:rPr>
        <w:t>8</w:t>
      </w:r>
    </w:p>
    <w:p>
      <w:pPr>
        <w:pStyle w:val="16"/>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"_Toc358883246" </w:instrText>
      </w:r>
      <w:r>
        <w:fldChar w:fldCharType="separate"/>
      </w:r>
      <w:r>
        <w:rPr>
          <w:rFonts w:hint="eastAsia" w:hAnsi="宋体" w:cs="宋体"/>
          <w:sz w:val="28"/>
          <w:szCs w:val="28"/>
        </w:rPr>
        <w:t>第四章  招标项目技术、商务及其他要求</w:t>
      </w:r>
      <w:r>
        <w:rPr>
          <w:rFonts w:hint="eastAsia" w:hAnsi="宋体" w:cs="宋体"/>
          <w:sz w:val="28"/>
          <w:szCs w:val="28"/>
        </w:rPr>
        <w:tab/>
      </w:r>
      <w:r>
        <w:rPr>
          <w:rFonts w:hint="eastAsia" w:hAnsi="宋体" w:cs="宋体"/>
          <w:sz w:val="28"/>
          <w:szCs w:val="28"/>
        </w:rPr>
        <w:t>1</w:t>
      </w:r>
      <w:r>
        <w:rPr>
          <w:rFonts w:hint="eastAsia" w:hAnsi="宋体" w:cs="宋体"/>
          <w:sz w:val="28"/>
          <w:szCs w:val="28"/>
        </w:rPr>
        <w:fldChar w:fldCharType="end"/>
      </w:r>
      <w:r>
        <w:rPr>
          <w:rFonts w:hint="eastAsia" w:hAnsi="宋体" w:cs="宋体"/>
          <w:sz w:val="28"/>
          <w:szCs w:val="28"/>
          <w:lang w:val="en-US" w:eastAsia="zh-CN"/>
        </w:rPr>
        <w:t>4</w:t>
      </w:r>
    </w:p>
    <w:p>
      <w:pPr>
        <w:pStyle w:val="16"/>
        <w:tabs>
          <w:tab w:val="right" w:leader="dot" w:pos="9175"/>
        </w:tabs>
        <w:snapToGrid w:val="0"/>
        <w:spacing w:line="480" w:lineRule="auto"/>
        <w:ind w:firstLine="792" w:firstLineChars="233"/>
        <w:rPr>
          <w:rFonts w:hint="default" w:hAnsi="宋体" w:eastAsia="宋体" w:cs="宋体"/>
          <w:sz w:val="28"/>
          <w:szCs w:val="28"/>
          <w:lang w:val="en-US" w:eastAsia="zh-CN"/>
        </w:rPr>
      </w:pPr>
      <w:r>
        <w:fldChar w:fldCharType="begin"/>
      </w:r>
      <w:r>
        <w:instrText xml:space="preserve"> HYPERLINK \l "_Toc358883247" </w:instrText>
      </w:r>
      <w:r>
        <w:fldChar w:fldCharType="separate"/>
      </w:r>
      <w:r>
        <w:rPr>
          <w:rFonts w:hint="eastAsia" w:hAnsi="宋体" w:cs="宋体"/>
          <w:sz w:val="28"/>
          <w:szCs w:val="28"/>
        </w:rPr>
        <w:t>第五章  评标办法</w:t>
      </w:r>
      <w:bookmarkStart w:id="2" w:name="_Hlt360036319"/>
      <w:bookmarkStart w:id="3" w:name="_Hlt360036320"/>
      <w:r>
        <w:rPr>
          <w:rFonts w:hint="eastAsia" w:hAnsi="宋体" w:cs="宋体"/>
          <w:sz w:val="28"/>
          <w:szCs w:val="28"/>
        </w:rPr>
        <w:tab/>
      </w:r>
      <w:bookmarkEnd w:id="2"/>
      <w:bookmarkEnd w:id="3"/>
      <w:r>
        <w:rPr>
          <w:rFonts w:hint="eastAsia" w:hAnsi="宋体" w:cs="宋体"/>
          <w:sz w:val="28"/>
          <w:szCs w:val="28"/>
        </w:rPr>
        <w:fldChar w:fldCharType="end"/>
      </w:r>
      <w:r>
        <w:rPr>
          <w:rFonts w:hint="eastAsia" w:hAnsi="宋体" w:cs="宋体"/>
          <w:sz w:val="28"/>
          <w:szCs w:val="28"/>
          <w:lang w:val="en-US" w:eastAsia="zh-CN"/>
        </w:rPr>
        <w:t>17</w:t>
      </w:r>
    </w:p>
    <w:p>
      <w:pPr>
        <w:pStyle w:val="16"/>
        <w:tabs>
          <w:tab w:val="right" w:leader="dot" w:pos="9175"/>
        </w:tabs>
        <w:snapToGrid w:val="0"/>
        <w:spacing w:line="480" w:lineRule="auto"/>
        <w:ind w:firstLine="792" w:firstLineChars="233"/>
        <w:rPr>
          <w:rFonts w:hint="eastAsia" w:hAnsi="宋体" w:eastAsia="宋体" w:cs="宋体"/>
          <w:sz w:val="28"/>
          <w:szCs w:val="28"/>
          <w:lang w:val="en-US" w:eastAsia="zh-CN"/>
        </w:rPr>
      </w:pPr>
      <w:r>
        <w:fldChar w:fldCharType="begin"/>
      </w:r>
      <w:r>
        <w:instrText xml:space="preserve"> HYPERLINK \l "_Toc358883248" </w:instrText>
      </w:r>
      <w:r>
        <w:fldChar w:fldCharType="separate"/>
      </w:r>
      <w:r>
        <w:rPr>
          <w:rFonts w:hint="eastAsia" w:hAnsi="宋体" w:cs="宋体"/>
          <w:sz w:val="28"/>
          <w:szCs w:val="28"/>
        </w:rPr>
        <w:t>第六章  合同主要条款</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rPr>
        <w:fldChar w:fldCharType="end"/>
      </w:r>
      <w:r>
        <w:rPr>
          <w:rFonts w:hint="eastAsia" w:hAnsi="宋体" w:cs="宋体"/>
          <w:sz w:val="28"/>
          <w:szCs w:val="28"/>
        </w:rPr>
        <w:t>2</w:t>
      </w:r>
      <w:r>
        <w:rPr>
          <w:rFonts w:hint="eastAsia" w:hAnsi="宋体" w:cs="宋体"/>
          <w:sz w:val="28"/>
          <w:szCs w:val="28"/>
          <w:lang w:val="en-US" w:eastAsia="zh-CN"/>
        </w:rPr>
        <w:t>0</w:t>
      </w:r>
      <w:bookmarkStart w:id="107" w:name="_GoBack"/>
      <w:bookmarkEnd w:id="107"/>
    </w:p>
    <w:p/>
    <w:p/>
    <w:p/>
    <w:p/>
    <w:p>
      <w:pPr>
        <w:tabs>
          <w:tab w:val="left" w:pos="1854"/>
        </w:tabs>
        <w:jc w:val="left"/>
        <w:sectPr>
          <w:headerReference r:id="rId3" w:type="default"/>
          <w:footerReference r:id="rId4" w:type="default"/>
          <w:type w:val="nextColumn"/>
          <w:pgSz w:w="11907" w:h="16840"/>
          <w:pgMar w:top="1440" w:right="1080" w:bottom="1440" w:left="1080" w:header="851" w:footer="992" w:gutter="0"/>
          <w:cols w:space="720" w:num="1"/>
          <w:docGrid w:linePitch="312" w:charSpace="0"/>
        </w:sectPr>
      </w:pPr>
      <w:r>
        <w:rPr>
          <w:rFonts w:hint="eastAsia"/>
        </w:rPr>
        <w:tab/>
      </w:r>
    </w:p>
    <w:p>
      <w:pPr>
        <w:pStyle w:val="4"/>
        <w:snapToGrid w:val="0"/>
        <w:spacing w:before="0" w:after="0" w:line="360" w:lineRule="auto"/>
        <w:jc w:val="center"/>
        <w:rPr>
          <w:rFonts w:hAnsi="宋体" w:cs="宋体"/>
          <w:sz w:val="30"/>
          <w:szCs w:val="30"/>
        </w:rPr>
      </w:pPr>
      <w:bookmarkStart w:id="4" w:name="_Toc358883241"/>
      <w:r>
        <w:rPr>
          <w:rFonts w:hint="eastAsia" w:hAnsi="宋体" w:cs="宋体"/>
          <w:sz w:val="30"/>
          <w:szCs w:val="30"/>
        </w:rPr>
        <w:t>第一章  投标邀请</w:t>
      </w:r>
      <w:bookmarkEnd w:id="4"/>
    </w:p>
    <w:p>
      <w:pPr>
        <w:snapToGrid w:val="0"/>
        <w:spacing w:line="360" w:lineRule="auto"/>
        <w:ind w:firstLine="480" w:firstLineChars="200"/>
        <w:rPr>
          <w:rFonts w:ascii="仿宋_GB2312" w:hAnsi="宋体" w:eastAsia="仿宋_GB2312"/>
          <w:sz w:val="28"/>
        </w:rPr>
      </w:pPr>
      <w:r>
        <w:rPr>
          <w:rFonts w:hint="eastAsia" w:hAnsi="宋体" w:cs="宋体"/>
          <w:bCs/>
          <w:sz w:val="24"/>
          <w:szCs w:val="24"/>
          <w:u w:val="single"/>
        </w:rPr>
        <w:t xml:space="preserve"> 四川铁道职业学院</w:t>
      </w:r>
      <w:r>
        <w:rPr>
          <w:rFonts w:hint="eastAsia" w:hAnsi="宋体" w:cs="宋体"/>
          <w:bCs/>
          <w:sz w:val="24"/>
          <w:szCs w:val="24"/>
        </w:rPr>
        <w:t>就</w:t>
      </w:r>
      <w:r>
        <w:rPr>
          <w:rFonts w:hint="eastAsia" w:hAnsi="宋体" w:cs="宋体"/>
          <w:bCs/>
          <w:sz w:val="24"/>
          <w:szCs w:val="24"/>
          <w:u w:val="single"/>
        </w:rPr>
        <w:t>2022年度</w:t>
      </w:r>
      <w:r>
        <w:rPr>
          <w:rFonts w:hint="eastAsia" w:hAnsi="宋体" w:cs="宋体"/>
          <w:bCs/>
          <w:sz w:val="24"/>
          <w:szCs w:val="24"/>
          <w:u w:val="single"/>
          <w:lang w:eastAsia="zh-CN"/>
        </w:rPr>
        <w:t>四川铁道职业学院</w:t>
      </w:r>
      <w:r>
        <w:rPr>
          <w:rFonts w:hint="eastAsia" w:hAnsi="宋体" w:cs="宋体"/>
          <w:bCs/>
          <w:sz w:val="24"/>
          <w:szCs w:val="24"/>
          <w:u w:val="single"/>
        </w:rPr>
        <w:t>期刊采购</w:t>
      </w:r>
      <w:r>
        <w:rPr>
          <w:rFonts w:hint="eastAsia" w:hAnsi="宋体" w:cs="宋体"/>
          <w:bCs/>
          <w:sz w:val="24"/>
          <w:szCs w:val="24"/>
        </w:rPr>
        <w:t>项目进行公开招标，兹邀请符合本次招标要求的供应商参加投标</w:t>
      </w:r>
      <w:r>
        <w:rPr>
          <w:rFonts w:hint="eastAsia" w:hAnsi="宋体" w:cs="宋体"/>
          <w:sz w:val="24"/>
          <w:szCs w:val="24"/>
        </w:rPr>
        <w:t>。</w:t>
      </w:r>
    </w:p>
    <w:p>
      <w:pPr>
        <w:pStyle w:val="10"/>
        <w:numPr>
          <w:ilvl w:val="0"/>
          <w:numId w:val="2"/>
        </w:numPr>
        <w:snapToGrid w:val="0"/>
        <w:spacing w:line="360" w:lineRule="auto"/>
        <w:ind w:firstLine="441" w:firstLineChars="183"/>
        <w:rPr>
          <w:rFonts w:ascii="宋体" w:hAnsi="宋体" w:cs="宋体"/>
          <w:b/>
          <w:sz w:val="24"/>
          <w:szCs w:val="24"/>
        </w:rPr>
      </w:pPr>
      <w:r>
        <w:rPr>
          <w:rFonts w:hint="eastAsia" w:ascii="宋体" w:hAnsi="宋体" w:cs="宋体"/>
          <w:b/>
          <w:sz w:val="24"/>
          <w:szCs w:val="24"/>
        </w:rPr>
        <w:t>招标编号：</w:t>
      </w:r>
      <w:r>
        <w:rPr>
          <w:rFonts w:hint="eastAsia" w:hAnsi="宋体" w:cs="宋体"/>
          <w:bCs/>
          <w:sz w:val="24"/>
          <w:szCs w:val="24"/>
        </w:rPr>
        <w:t>TZY</w:t>
      </w:r>
      <w:r>
        <w:rPr>
          <w:rFonts w:hint="eastAsia" w:hAnsi="宋体" w:cs="宋体"/>
          <w:bCs/>
          <w:sz w:val="24"/>
          <w:szCs w:val="24"/>
          <w:lang w:val="en-US" w:eastAsia="zh-CN"/>
        </w:rPr>
        <w:t>-2021021</w:t>
      </w:r>
    </w:p>
    <w:p>
      <w:pPr>
        <w:pStyle w:val="10"/>
        <w:numPr>
          <w:ilvl w:val="0"/>
          <w:numId w:val="2"/>
        </w:numPr>
        <w:snapToGrid w:val="0"/>
        <w:spacing w:line="360" w:lineRule="auto"/>
        <w:ind w:firstLine="441" w:firstLineChars="183"/>
        <w:rPr>
          <w:rFonts w:ascii="宋体" w:hAnsi="宋体" w:cs="宋体"/>
          <w:bCs/>
          <w:sz w:val="24"/>
          <w:szCs w:val="24"/>
          <w:lang w:val="zh-CN"/>
        </w:rPr>
      </w:pPr>
      <w:r>
        <w:rPr>
          <w:rFonts w:hint="eastAsia" w:ascii="宋体" w:hAnsi="宋体" w:cs="宋体"/>
          <w:b/>
          <w:sz w:val="24"/>
          <w:szCs w:val="24"/>
        </w:rPr>
        <w:t>招标项目：</w:t>
      </w:r>
      <w:r>
        <w:rPr>
          <w:rFonts w:hint="eastAsia" w:ascii="宋体" w:hAnsi="宋体" w:cs="宋体"/>
          <w:sz w:val="24"/>
          <w:szCs w:val="24"/>
          <w:u w:val="single"/>
        </w:rPr>
        <w:t>2022年度</w:t>
      </w:r>
      <w:r>
        <w:rPr>
          <w:rFonts w:hint="eastAsia" w:ascii="宋体" w:hAnsi="宋体" w:cs="宋体"/>
          <w:sz w:val="24"/>
          <w:szCs w:val="24"/>
          <w:u w:val="single"/>
          <w:lang w:eastAsia="zh-CN"/>
        </w:rPr>
        <w:t>四川铁道职业学院</w:t>
      </w:r>
      <w:r>
        <w:rPr>
          <w:rFonts w:hint="eastAsia" w:ascii="宋体" w:hAnsi="宋体" w:cs="宋体"/>
          <w:sz w:val="24"/>
          <w:szCs w:val="24"/>
          <w:u w:val="single"/>
        </w:rPr>
        <w:t>期刊</w:t>
      </w:r>
      <w:r>
        <w:rPr>
          <w:rFonts w:hint="eastAsia" w:hAnsi="宋体" w:cs="宋体"/>
          <w:bCs/>
          <w:sz w:val="24"/>
          <w:szCs w:val="24"/>
          <w:u w:val="single"/>
        </w:rPr>
        <w:t>采购</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三、资金来源：</w:t>
      </w:r>
      <w:r>
        <w:rPr>
          <w:rFonts w:hint="eastAsia" w:hAnsi="宋体" w:cs="宋体"/>
          <w:bCs/>
          <w:sz w:val="24"/>
          <w:szCs w:val="24"/>
        </w:rPr>
        <w:t>财政资金</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四、招标项目简介：</w:t>
      </w:r>
    </w:p>
    <w:p>
      <w:pPr>
        <w:snapToGrid w:val="0"/>
        <w:spacing w:line="360" w:lineRule="auto"/>
        <w:ind w:firstLine="1000" w:firstLineChars="417"/>
        <w:rPr>
          <w:rFonts w:hAnsi="宋体" w:cs="宋体"/>
          <w:sz w:val="24"/>
          <w:szCs w:val="24"/>
        </w:rPr>
      </w:pPr>
      <w:r>
        <w:rPr>
          <w:rFonts w:hint="eastAsia" w:hAnsi="宋体" w:cs="宋体"/>
          <w:sz w:val="24"/>
          <w:szCs w:val="24"/>
        </w:rPr>
        <w:t>详见第四章</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五、供应商参加本次政府采购活动应具备下列条件：</w:t>
      </w:r>
    </w:p>
    <w:p>
      <w:pPr>
        <w:snapToGrid w:val="0"/>
        <w:spacing w:line="360" w:lineRule="auto"/>
        <w:ind w:firstLine="480" w:firstLineChars="200"/>
        <w:rPr>
          <w:rFonts w:hAnsi="宋体" w:cs="宋体"/>
          <w:sz w:val="24"/>
          <w:szCs w:val="24"/>
        </w:rPr>
      </w:pPr>
      <w:r>
        <w:rPr>
          <w:rFonts w:hint="eastAsia" w:hAnsi="宋体" w:cs="宋体"/>
          <w:sz w:val="24"/>
          <w:szCs w:val="24"/>
        </w:rPr>
        <w:t>投标人必须符合《政府采购法》第二十二条要求，且满足以下条件：</w:t>
      </w:r>
    </w:p>
    <w:p>
      <w:pPr>
        <w:tabs>
          <w:tab w:val="left" w:pos="7665"/>
        </w:tabs>
        <w:spacing w:line="440" w:lineRule="exact"/>
        <w:ind w:firstLine="600" w:firstLineChars="250"/>
        <w:rPr>
          <w:rFonts w:hAnsi="宋体" w:cs="宋体"/>
          <w:sz w:val="24"/>
          <w:szCs w:val="22"/>
        </w:rPr>
      </w:pPr>
      <w:r>
        <w:rPr>
          <w:rFonts w:hint="eastAsia" w:hAnsi="宋体" w:cs="宋体"/>
          <w:sz w:val="24"/>
          <w:szCs w:val="22"/>
        </w:rPr>
        <w:t>1.具有独立承担民事责任的能力；</w:t>
      </w:r>
    </w:p>
    <w:p>
      <w:pPr>
        <w:tabs>
          <w:tab w:val="left" w:pos="7665"/>
        </w:tabs>
        <w:spacing w:line="440" w:lineRule="exact"/>
        <w:ind w:firstLine="600" w:firstLineChars="250"/>
        <w:rPr>
          <w:rFonts w:hAnsi="宋体" w:cs="宋体"/>
          <w:sz w:val="24"/>
          <w:szCs w:val="22"/>
        </w:rPr>
      </w:pPr>
      <w:r>
        <w:rPr>
          <w:rFonts w:hint="eastAsia" w:hAnsi="宋体" w:cs="宋体"/>
          <w:sz w:val="24"/>
          <w:szCs w:val="22"/>
        </w:rPr>
        <w:t>2.具有良好的商业信誉和健全的财务会计制度；</w:t>
      </w:r>
    </w:p>
    <w:p>
      <w:pPr>
        <w:tabs>
          <w:tab w:val="left" w:pos="7665"/>
        </w:tabs>
        <w:spacing w:line="440" w:lineRule="exact"/>
        <w:ind w:firstLine="600" w:firstLineChars="250"/>
        <w:rPr>
          <w:rFonts w:hAnsi="宋体" w:cs="宋体"/>
          <w:sz w:val="24"/>
          <w:szCs w:val="22"/>
        </w:rPr>
      </w:pPr>
      <w:r>
        <w:rPr>
          <w:rFonts w:hint="eastAsia" w:hAnsi="宋体" w:cs="宋体"/>
          <w:sz w:val="24"/>
          <w:szCs w:val="22"/>
        </w:rPr>
        <w:t>3.具有履行合同所必须的设备和专业技术能力；</w:t>
      </w:r>
    </w:p>
    <w:p>
      <w:pPr>
        <w:tabs>
          <w:tab w:val="left" w:pos="7665"/>
        </w:tabs>
        <w:spacing w:line="440" w:lineRule="exact"/>
        <w:ind w:firstLine="600" w:firstLineChars="250"/>
        <w:rPr>
          <w:rFonts w:hAnsi="宋体" w:cs="宋体"/>
          <w:sz w:val="24"/>
          <w:szCs w:val="22"/>
        </w:rPr>
      </w:pPr>
      <w:r>
        <w:rPr>
          <w:rFonts w:hint="eastAsia" w:hAnsi="宋体" w:cs="宋体"/>
          <w:sz w:val="24"/>
          <w:szCs w:val="22"/>
        </w:rPr>
        <w:t>4.具有依法缴纳税收和社会保障资金的良好记录；</w:t>
      </w:r>
    </w:p>
    <w:p>
      <w:pPr>
        <w:tabs>
          <w:tab w:val="left" w:pos="7665"/>
        </w:tabs>
        <w:spacing w:line="440" w:lineRule="exact"/>
        <w:ind w:firstLine="600" w:firstLineChars="250"/>
        <w:rPr>
          <w:rFonts w:hAnsi="宋体" w:cs="宋体"/>
          <w:sz w:val="24"/>
          <w:szCs w:val="22"/>
        </w:rPr>
      </w:pPr>
      <w:r>
        <w:rPr>
          <w:rFonts w:hint="eastAsia" w:hAnsi="宋体" w:cs="宋体"/>
          <w:sz w:val="24"/>
          <w:szCs w:val="22"/>
        </w:rPr>
        <w:t>5.参加本次采购活动前三年内，在经营活动中没有重大违法记录；</w:t>
      </w:r>
    </w:p>
    <w:p>
      <w:pPr>
        <w:tabs>
          <w:tab w:val="left" w:pos="7665"/>
        </w:tabs>
        <w:spacing w:line="440" w:lineRule="exact"/>
        <w:ind w:firstLine="600" w:firstLineChars="250"/>
        <w:rPr>
          <w:rFonts w:hAnsi="宋体" w:cs="宋体"/>
          <w:sz w:val="24"/>
          <w:szCs w:val="22"/>
        </w:rPr>
      </w:pPr>
      <w:r>
        <w:rPr>
          <w:rFonts w:hint="eastAsia" w:hAnsi="宋体" w:cs="宋体"/>
          <w:sz w:val="24"/>
          <w:szCs w:val="22"/>
        </w:rPr>
        <w:t>6.法律、行政法规规定的其他条件；</w:t>
      </w:r>
    </w:p>
    <w:p>
      <w:pPr>
        <w:tabs>
          <w:tab w:val="left" w:pos="7665"/>
        </w:tabs>
        <w:spacing w:line="440" w:lineRule="exact"/>
        <w:ind w:firstLine="600" w:firstLineChars="250"/>
        <w:rPr>
          <w:rFonts w:hAnsi="宋体" w:cs="宋体"/>
          <w:sz w:val="24"/>
          <w:szCs w:val="24"/>
        </w:rPr>
      </w:pPr>
      <w:r>
        <w:rPr>
          <w:rFonts w:hint="eastAsia" w:hAnsi="宋体" w:cs="宋体"/>
          <w:sz w:val="24"/>
          <w:szCs w:val="22"/>
        </w:rPr>
        <w:t>7.本项目不接受联合体参与招标。</w:t>
      </w:r>
    </w:p>
    <w:p>
      <w:pPr>
        <w:snapToGrid w:val="0"/>
        <w:spacing w:line="360" w:lineRule="auto"/>
        <w:ind w:firstLine="479" w:firstLineChars="199"/>
        <w:rPr>
          <w:rFonts w:hAnsi="宋体" w:cs="宋体"/>
          <w:sz w:val="24"/>
          <w:szCs w:val="24"/>
        </w:rPr>
      </w:pPr>
      <w:r>
        <w:rPr>
          <w:rFonts w:hint="eastAsia" w:hAnsi="宋体" w:cs="宋体"/>
          <w:b/>
          <w:sz w:val="24"/>
          <w:szCs w:val="24"/>
        </w:rPr>
        <w:t>六、投标截止时间和开标时间：2021</w:t>
      </w:r>
      <w:r>
        <w:rPr>
          <w:rFonts w:hint="eastAsia" w:hAnsi="宋体" w:cs="宋体"/>
          <w:bCs/>
          <w:sz w:val="24"/>
          <w:szCs w:val="24"/>
        </w:rPr>
        <w:t xml:space="preserve">年 </w:t>
      </w:r>
      <w:r>
        <w:rPr>
          <w:rFonts w:hint="eastAsia" w:hAnsi="宋体" w:cs="宋体"/>
          <w:bCs/>
          <w:sz w:val="24"/>
          <w:szCs w:val="24"/>
          <w:lang w:val="en-US" w:eastAsia="zh-CN"/>
        </w:rPr>
        <w:t>10</w:t>
      </w:r>
      <w:r>
        <w:rPr>
          <w:rFonts w:hint="eastAsia" w:hAnsi="宋体" w:cs="宋体"/>
          <w:bCs/>
          <w:sz w:val="24"/>
          <w:szCs w:val="24"/>
        </w:rPr>
        <w:t xml:space="preserve"> </w:t>
      </w:r>
      <w:r>
        <w:rPr>
          <w:rFonts w:hint="eastAsia" w:hAnsi="宋体" w:cs="宋体"/>
          <w:bCs/>
          <w:sz w:val="24"/>
          <w:szCs w:val="24"/>
          <w:lang w:val="en-US" w:eastAsia="zh-CN"/>
        </w:rPr>
        <w:t xml:space="preserve"> </w:t>
      </w:r>
      <w:r>
        <w:rPr>
          <w:rFonts w:hint="eastAsia" w:hAnsi="宋体" w:cs="宋体"/>
          <w:bCs/>
          <w:sz w:val="24"/>
          <w:szCs w:val="24"/>
        </w:rPr>
        <w:t xml:space="preserve">月 </w:t>
      </w:r>
      <w:r>
        <w:rPr>
          <w:rFonts w:hint="eastAsia" w:hAnsi="宋体" w:cs="宋体"/>
          <w:bCs/>
          <w:sz w:val="24"/>
          <w:szCs w:val="24"/>
          <w:lang w:val="en-US" w:eastAsia="zh-CN"/>
        </w:rPr>
        <w:t xml:space="preserve">20 </w:t>
      </w:r>
      <w:r>
        <w:rPr>
          <w:rFonts w:hint="eastAsia" w:hAnsi="宋体" w:cs="宋体"/>
          <w:bCs/>
          <w:sz w:val="24"/>
          <w:szCs w:val="24"/>
        </w:rPr>
        <w:t xml:space="preserve">日 </w:t>
      </w:r>
      <w:r>
        <w:rPr>
          <w:rFonts w:hint="eastAsia" w:hAnsi="宋体" w:cs="宋体"/>
          <w:bCs/>
          <w:sz w:val="24"/>
          <w:szCs w:val="24"/>
          <w:lang w:val="en-US" w:eastAsia="zh-CN"/>
        </w:rPr>
        <w:t>10:00</w:t>
      </w:r>
      <w:r>
        <w:rPr>
          <w:rFonts w:hint="eastAsia" w:hAnsi="宋体" w:cs="宋体"/>
          <w:bCs/>
          <w:sz w:val="24"/>
          <w:szCs w:val="24"/>
        </w:rPr>
        <w:t xml:space="preserve">  </w:t>
      </w:r>
      <w:r>
        <w:rPr>
          <w:rFonts w:hint="eastAsia" w:hAnsi="宋体" w:cs="宋体"/>
          <w:sz w:val="24"/>
          <w:szCs w:val="24"/>
        </w:rPr>
        <w:t>（北京时间）。</w:t>
      </w:r>
    </w:p>
    <w:p>
      <w:pPr>
        <w:pStyle w:val="10"/>
        <w:snapToGrid w:val="0"/>
        <w:spacing w:line="360" w:lineRule="auto"/>
        <w:ind w:firstLine="439" w:firstLineChars="183"/>
        <w:rPr>
          <w:rFonts w:ascii="宋体" w:hAnsi="宋体" w:cs="宋体"/>
          <w:sz w:val="24"/>
          <w:szCs w:val="24"/>
        </w:rPr>
      </w:pPr>
      <w:r>
        <w:rPr>
          <w:rFonts w:hint="eastAsia" w:ascii="宋体" w:hAnsi="宋体" w:cs="宋体"/>
          <w:sz w:val="24"/>
          <w:szCs w:val="24"/>
        </w:rPr>
        <w:t>投标文件必须在投标截止时间前送达开标地点，并签到（签到地点：</w:t>
      </w:r>
      <w:r>
        <w:rPr>
          <w:rFonts w:hint="eastAsia" w:hAnsi="宋体" w:cs="宋体"/>
          <w:sz w:val="24"/>
        </w:rPr>
        <w:t>四川成都郫县安德镇彭温路399号</w:t>
      </w:r>
      <w:r>
        <w:rPr>
          <w:rFonts w:hint="eastAsia" w:ascii="宋体" w:hAnsi="宋体" w:cs="宋体"/>
          <w:sz w:val="24"/>
          <w:szCs w:val="24"/>
        </w:rPr>
        <w:t>），若不签到的投标文件将被拒收，投标人自行承担一切后果。逾期送达或密封和标注不符合招标文件规定的投标文件恕不接受。本次招标不接受邮寄的投标文件。</w:t>
      </w:r>
    </w:p>
    <w:p>
      <w:pPr>
        <w:pStyle w:val="10"/>
        <w:snapToGrid w:val="0"/>
        <w:spacing w:line="360" w:lineRule="auto"/>
        <w:ind w:firstLine="439" w:firstLineChars="183"/>
        <w:rPr>
          <w:rFonts w:ascii="宋体" w:hAnsi="宋体" w:cs="宋体"/>
          <w:sz w:val="24"/>
          <w:szCs w:val="24"/>
        </w:rPr>
      </w:pPr>
      <w:r>
        <w:rPr>
          <w:rFonts w:hint="eastAsia" w:ascii="宋体" w:hAnsi="宋体" w:cs="宋体"/>
          <w:sz w:val="24"/>
          <w:szCs w:val="24"/>
        </w:rPr>
        <w:t>特别说明：因疫情期间，为保证安全，请前来投标的商家戴好口罩，准备健康二维码，服从学校管理，做好个人防护。</w:t>
      </w:r>
    </w:p>
    <w:p>
      <w:pPr>
        <w:pStyle w:val="10"/>
        <w:snapToGrid w:val="0"/>
        <w:spacing w:line="360" w:lineRule="auto"/>
        <w:ind w:firstLine="482" w:firstLineChars="200"/>
        <w:rPr>
          <w:rFonts w:ascii="宋体" w:hAnsi="宋体" w:cs="宋体"/>
          <w:sz w:val="24"/>
          <w:szCs w:val="24"/>
        </w:rPr>
      </w:pPr>
      <w:r>
        <w:rPr>
          <w:rFonts w:hint="eastAsia" w:hAnsi="宋体" w:cs="宋体"/>
          <w:b/>
          <w:bCs/>
          <w:sz w:val="24"/>
          <w:szCs w:val="24"/>
        </w:rPr>
        <w:t>七</w:t>
      </w:r>
      <w:r>
        <w:rPr>
          <w:rFonts w:hint="eastAsia" w:ascii="宋体" w:hAnsi="宋体" w:cs="宋体"/>
          <w:b/>
          <w:bCs/>
          <w:sz w:val="24"/>
          <w:szCs w:val="24"/>
        </w:rPr>
        <w:t>、</w:t>
      </w:r>
      <w:r>
        <w:rPr>
          <w:rFonts w:hint="eastAsia" w:ascii="宋体" w:hAnsi="宋体" w:cs="宋体"/>
          <w:b/>
          <w:kern w:val="0"/>
          <w:sz w:val="24"/>
          <w:szCs w:val="24"/>
        </w:rPr>
        <w:t>递交投标文件及开标地点</w:t>
      </w:r>
      <w:r>
        <w:rPr>
          <w:rFonts w:hint="eastAsia" w:ascii="宋体" w:hAnsi="宋体" w:cs="宋体"/>
          <w:sz w:val="24"/>
          <w:szCs w:val="24"/>
        </w:rPr>
        <w:t>：</w:t>
      </w:r>
      <w:r>
        <w:rPr>
          <w:rFonts w:hint="eastAsia" w:hAnsi="宋体" w:cs="宋体"/>
          <w:sz w:val="24"/>
        </w:rPr>
        <w:t>四川成都郫县安德镇彭温路399号后勤基建处2F开标室</w:t>
      </w:r>
    </w:p>
    <w:p>
      <w:pPr>
        <w:pStyle w:val="57"/>
        <w:snapToGrid w:val="0"/>
        <w:ind w:firstLine="479" w:firstLineChars="199"/>
        <w:rPr>
          <w:rFonts w:hAnsi="宋体" w:cs="宋体"/>
          <w:b/>
          <w:sz w:val="24"/>
          <w:szCs w:val="24"/>
        </w:rPr>
      </w:pPr>
      <w:r>
        <w:rPr>
          <w:rFonts w:hint="eastAsia" w:hAnsi="宋体" w:cs="宋体"/>
          <w:b/>
          <w:sz w:val="24"/>
          <w:szCs w:val="24"/>
        </w:rPr>
        <w:t>八、联系方式</w:t>
      </w:r>
    </w:p>
    <w:p>
      <w:pPr>
        <w:pStyle w:val="57"/>
        <w:snapToGrid w:val="0"/>
        <w:ind w:firstLine="950" w:firstLineChars="396"/>
        <w:rPr>
          <w:rFonts w:hAnsi="宋体" w:cs="宋体"/>
          <w:snapToGrid w:val="0"/>
          <w:sz w:val="24"/>
        </w:rPr>
      </w:pPr>
      <w:r>
        <w:rPr>
          <w:rFonts w:hint="eastAsia" w:hAnsi="宋体" w:cs="宋体"/>
          <w:snapToGrid w:val="0"/>
          <w:sz w:val="24"/>
        </w:rPr>
        <w:t>采购人：四川铁道职业学院</w:t>
      </w:r>
    </w:p>
    <w:p>
      <w:pPr>
        <w:pStyle w:val="57"/>
        <w:snapToGrid w:val="0"/>
        <w:ind w:firstLine="919" w:firstLineChars="383"/>
        <w:rPr>
          <w:rFonts w:hAnsi="宋体" w:cs="宋体"/>
          <w:sz w:val="24"/>
          <w:highlight w:val="yellow"/>
        </w:rPr>
      </w:pPr>
      <w:r>
        <w:rPr>
          <w:rFonts w:hint="eastAsia" w:hAnsi="宋体" w:cs="宋体"/>
          <w:bCs/>
          <w:sz w:val="24"/>
        </w:rPr>
        <w:t>地址：</w:t>
      </w:r>
      <w:r>
        <w:rPr>
          <w:rFonts w:hint="eastAsia" w:hAnsi="宋体" w:cs="宋体"/>
          <w:sz w:val="24"/>
        </w:rPr>
        <w:t>四川成都郫县安德镇彭温路399号</w:t>
      </w:r>
    </w:p>
    <w:p>
      <w:pPr>
        <w:pStyle w:val="57"/>
        <w:snapToGrid w:val="0"/>
        <w:ind w:firstLine="919" w:firstLineChars="383"/>
        <w:rPr>
          <w:rFonts w:hint="eastAsia" w:hAnsi="宋体" w:eastAsia="宋体" w:cs="宋体"/>
          <w:sz w:val="24"/>
          <w:lang w:eastAsia="zh-CN"/>
        </w:rPr>
      </w:pPr>
      <w:r>
        <w:rPr>
          <w:rFonts w:hint="eastAsia" w:hAnsi="宋体" w:cs="宋体"/>
          <w:sz w:val="24"/>
        </w:rPr>
        <w:t xml:space="preserve">联系人：贺老师   </w:t>
      </w:r>
      <w:r>
        <w:rPr>
          <w:rFonts w:hint="eastAsia" w:hAnsi="宋体" w:cs="宋体"/>
          <w:sz w:val="24"/>
          <w:lang w:eastAsia="zh-CN"/>
        </w:rPr>
        <w:t>秦老师</w:t>
      </w:r>
    </w:p>
    <w:p>
      <w:pPr>
        <w:pStyle w:val="57"/>
        <w:snapToGrid w:val="0"/>
        <w:ind w:firstLine="919" w:firstLineChars="383"/>
        <w:rPr>
          <w:rFonts w:hint="default" w:hAnsi="宋体" w:eastAsia="宋体" w:cs="宋体"/>
          <w:sz w:val="24"/>
          <w:lang w:val="en-US" w:eastAsia="zh-CN"/>
        </w:rPr>
      </w:pPr>
      <w:r>
        <w:rPr>
          <w:rFonts w:hint="eastAsia" w:hAnsi="宋体" w:cs="宋体"/>
          <w:sz w:val="24"/>
        </w:rPr>
        <w:t xml:space="preserve">联系电话：028-68939969   </w:t>
      </w:r>
      <w:r>
        <w:rPr>
          <w:rFonts w:hint="eastAsia" w:hAnsi="宋体" w:cs="宋体"/>
          <w:sz w:val="24"/>
          <w:lang w:val="en-US" w:eastAsia="zh-CN"/>
        </w:rPr>
        <w:t>68939921</w:t>
      </w:r>
    </w:p>
    <w:p>
      <w:pPr>
        <w:pStyle w:val="57"/>
        <w:snapToGrid w:val="0"/>
        <w:ind w:firstLine="919" w:firstLineChars="383"/>
        <w:rPr>
          <w:rFonts w:hAnsi="宋体"/>
          <w:sz w:val="24"/>
          <w:szCs w:val="28"/>
        </w:rPr>
      </w:pPr>
      <w:r>
        <w:rPr>
          <w:rFonts w:hint="eastAsia" w:hAnsi="宋体" w:cs="宋体"/>
          <w:sz w:val="24"/>
        </w:rPr>
        <w:t xml:space="preserve">                   </w:t>
      </w:r>
      <w:r>
        <w:rPr>
          <w:rFonts w:hint="eastAsia" w:hAnsi="宋体" w:cs="宋体"/>
          <w:sz w:val="24"/>
        </w:rPr>
        <w:tab/>
      </w:r>
    </w:p>
    <w:p>
      <w:pPr>
        <w:pStyle w:val="20"/>
        <w:snapToGrid w:val="0"/>
        <w:spacing w:before="0" w:beforeAutospacing="0" w:after="0" w:afterAutospacing="0" w:line="360" w:lineRule="auto"/>
        <w:ind w:right="480"/>
        <w:rPr>
          <w:rFonts w:cs="宋体"/>
          <w:sz w:val="24"/>
          <w:szCs w:val="24"/>
        </w:rPr>
        <w:sectPr>
          <w:footerReference r:id="rId5" w:type="default"/>
          <w:pgSz w:w="11907" w:h="16840"/>
          <w:pgMar w:top="1440" w:right="1080" w:bottom="1440" w:left="1080" w:header="851" w:footer="992" w:gutter="0"/>
          <w:pgNumType w:start="1"/>
          <w:cols w:space="720" w:num="1"/>
          <w:docGrid w:linePitch="312" w:charSpace="0"/>
        </w:sectPr>
      </w:pPr>
    </w:p>
    <w:p>
      <w:pPr>
        <w:pStyle w:val="4"/>
        <w:snapToGrid w:val="0"/>
        <w:spacing w:before="0" w:after="0" w:line="360" w:lineRule="auto"/>
        <w:jc w:val="center"/>
        <w:rPr>
          <w:rFonts w:hAnsi="宋体" w:cs="宋体"/>
          <w:sz w:val="30"/>
          <w:szCs w:val="30"/>
        </w:rPr>
      </w:pPr>
      <w:bookmarkStart w:id="5" w:name="_Toc358883242"/>
      <w:bookmarkStart w:id="6" w:name="_Toc213496267"/>
      <w:bookmarkStart w:id="7" w:name="_Toc213396759"/>
      <w:bookmarkStart w:id="8" w:name="_Toc217446031"/>
      <w:bookmarkStart w:id="9" w:name="_Toc213397009"/>
      <w:bookmarkStart w:id="10" w:name="_Toc213396945"/>
      <w:r>
        <w:rPr>
          <w:rFonts w:hint="eastAsia" w:hAnsi="宋体" w:cs="宋体"/>
          <w:sz w:val="30"/>
          <w:szCs w:val="30"/>
        </w:rPr>
        <w:t>第二章  投标人须知</w:t>
      </w:r>
      <w:bookmarkEnd w:id="5"/>
      <w:bookmarkEnd w:id="6"/>
      <w:bookmarkEnd w:id="7"/>
      <w:bookmarkEnd w:id="8"/>
      <w:bookmarkEnd w:id="9"/>
      <w:bookmarkEnd w:id="10"/>
    </w:p>
    <w:p>
      <w:pPr>
        <w:pStyle w:val="5"/>
        <w:snapToGrid w:val="0"/>
        <w:spacing w:before="0" w:after="0" w:line="360" w:lineRule="auto"/>
        <w:jc w:val="center"/>
        <w:rPr>
          <w:rFonts w:ascii="宋体" w:hAnsi="宋体" w:eastAsia="宋体" w:cs="宋体"/>
          <w:sz w:val="30"/>
          <w:szCs w:val="30"/>
        </w:rPr>
      </w:pPr>
      <w:bookmarkStart w:id="11" w:name="_Toc213496268"/>
      <w:bookmarkStart w:id="12" w:name="_Toc213396946"/>
      <w:bookmarkStart w:id="13" w:name="_Toc189727030"/>
      <w:bookmarkStart w:id="14" w:name="_Toc217446032"/>
      <w:bookmarkStart w:id="15" w:name="_Toc213396760"/>
      <w:bookmarkStart w:id="16" w:name="_Toc213397010"/>
      <w:r>
        <w:rPr>
          <w:rFonts w:hint="eastAsia" w:ascii="宋体" w:hAnsi="宋体" w:eastAsia="宋体" w:cs="宋体"/>
          <w:sz w:val="30"/>
          <w:szCs w:val="30"/>
        </w:rPr>
        <w:t>一、投标人须知附表</w:t>
      </w:r>
      <w:bookmarkEnd w:id="11"/>
      <w:bookmarkEnd w:id="12"/>
      <w:bookmarkEnd w:id="13"/>
      <w:bookmarkEnd w:id="14"/>
      <w:bookmarkEnd w:id="15"/>
      <w:bookmarkEnd w:id="16"/>
    </w:p>
    <w:tbl>
      <w:tblPr>
        <w:tblStyle w:val="21"/>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71"/>
        <w:gridCol w:w="1916"/>
        <w:gridCol w:w="681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4" w:hRule="exact"/>
          <w:tblHeader/>
          <w:jc w:val="center"/>
        </w:trPr>
        <w:tc>
          <w:tcPr>
            <w:tcW w:w="771" w:type="dxa"/>
            <w:vAlign w:val="center"/>
          </w:tcPr>
          <w:p>
            <w:pPr>
              <w:pStyle w:val="59"/>
              <w:snapToGrid w:val="0"/>
              <w:spacing w:line="360" w:lineRule="auto"/>
              <w:jc w:val="center"/>
              <w:rPr>
                <w:lang w:val="zh-CN"/>
              </w:rPr>
            </w:pPr>
            <w:r>
              <w:rPr>
                <w:rFonts w:hint="eastAsia"/>
                <w:lang w:val="zh-CN"/>
              </w:rPr>
              <w:t xml:space="preserve">序号 </w:t>
            </w:r>
          </w:p>
        </w:tc>
        <w:tc>
          <w:tcPr>
            <w:tcW w:w="1916" w:type="dxa"/>
            <w:vAlign w:val="center"/>
          </w:tcPr>
          <w:p>
            <w:pPr>
              <w:pStyle w:val="59"/>
              <w:snapToGrid w:val="0"/>
              <w:spacing w:line="360" w:lineRule="auto"/>
              <w:jc w:val="center"/>
              <w:rPr>
                <w:lang w:val="zh-CN"/>
              </w:rPr>
            </w:pPr>
            <w:r>
              <w:rPr>
                <w:rFonts w:hint="eastAsia"/>
                <w:lang w:val="zh-CN"/>
              </w:rPr>
              <w:t xml:space="preserve">应知事项 </w:t>
            </w:r>
          </w:p>
        </w:tc>
        <w:tc>
          <w:tcPr>
            <w:tcW w:w="6819" w:type="dxa"/>
            <w:vAlign w:val="center"/>
          </w:tcPr>
          <w:p>
            <w:pPr>
              <w:pStyle w:val="59"/>
              <w:snapToGrid w:val="0"/>
              <w:spacing w:line="360" w:lineRule="auto"/>
              <w:jc w:val="center"/>
              <w:rPr>
                <w:lang w:val="zh-CN"/>
              </w:rPr>
            </w:pPr>
            <w:r>
              <w:rPr>
                <w:rFonts w:hint="eastAsia"/>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84" w:hRule="exact"/>
          <w:jc w:val="center"/>
        </w:trPr>
        <w:tc>
          <w:tcPr>
            <w:tcW w:w="771" w:type="dxa"/>
            <w:vAlign w:val="center"/>
          </w:tcPr>
          <w:p>
            <w:pPr>
              <w:pStyle w:val="59"/>
              <w:snapToGrid w:val="0"/>
              <w:spacing w:line="360" w:lineRule="auto"/>
              <w:jc w:val="center"/>
            </w:pPr>
            <w:r>
              <w:rPr>
                <w:rFonts w:hint="eastAsia"/>
              </w:rPr>
              <w:t>1</w:t>
            </w:r>
          </w:p>
        </w:tc>
        <w:tc>
          <w:tcPr>
            <w:tcW w:w="1916" w:type="dxa"/>
            <w:vAlign w:val="center"/>
          </w:tcPr>
          <w:p>
            <w:pPr>
              <w:pStyle w:val="59"/>
              <w:snapToGrid w:val="0"/>
              <w:spacing w:line="360" w:lineRule="auto"/>
              <w:jc w:val="center"/>
              <w:rPr>
                <w:lang w:val="zh-CN"/>
              </w:rPr>
            </w:pPr>
            <w:r>
              <w:rPr>
                <w:rFonts w:hint="eastAsia"/>
                <w:lang w:val="zh-CN"/>
              </w:rPr>
              <w:t>采购人</w:t>
            </w:r>
          </w:p>
        </w:tc>
        <w:tc>
          <w:tcPr>
            <w:tcW w:w="6819" w:type="dxa"/>
            <w:vAlign w:val="center"/>
          </w:tcPr>
          <w:p>
            <w:pPr>
              <w:pStyle w:val="57"/>
              <w:snapToGrid w:val="0"/>
              <w:ind w:firstLine="1425" w:firstLineChars="594"/>
              <w:jc w:val="both"/>
              <w:rPr>
                <w:rFonts w:hAnsi="宋体" w:cs="宋体"/>
                <w:sz w:val="24"/>
                <w:szCs w:val="24"/>
                <w:lang w:val="zh-CN"/>
              </w:rPr>
            </w:pPr>
            <w:r>
              <w:rPr>
                <w:rFonts w:hint="eastAsia" w:hAnsi="宋体" w:cs="宋体"/>
                <w:sz w:val="24"/>
                <w:szCs w:val="24"/>
                <w:lang w:val="zh-CN"/>
              </w:rPr>
              <w:t>名称：</w:t>
            </w:r>
            <w:r>
              <w:rPr>
                <w:rFonts w:hint="eastAsia" w:hAnsi="宋体" w:cs="宋体"/>
                <w:sz w:val="24"/>
                <w:szCs w:val="24"/>
              </w:rPr>
              <w:t>四川铁道职业学院</w:t>
            </w:r>
          </w:p>
          <w:p>
            <w:pPr>
              <w:pStyle w:val="59"/>
              <w:snapToGrid w:val="0"/>
              <w:spacing w:line="360" w:lineRule="auto"/>
              <w:ind w:firstLine="240" w:firstLineChars="100"/>
              <w:jc w:val="center"/>
              <w:rPr>
                <w:lang w:val="zh-CN"/>
              </w:rPr>
            </w:pPr>
            <w:r>
              <w:rPr>
                <w:rFonts w:hint="eastAsia"/>
                <w:lang w:val="zh-CN"/>
              </w:rPr>
              <w:t>地址：</w:t>
            </w:r>
            <w:r>
              <w:rPr>
                <w:rFonts w:hint="eastAsia"/>
              </w:rPr>
              <w:t>四川成都郫县安德镇彭温路399号</w:t>
            </w:r>
          </w:p>
          <w:p>
            <w:pPr>
              <w:pStyle w:val="59"/>
              <w:snapToGrid w:val="0"/>
              <w:spacing w:line="360" w:lineRule="auto"/>
              <w:ind w:firstLine="1440" w:firstLineChars="600"/>
              <w:jc w:val="both"/>
              <w:rPr>
                <w:lang w:val="zh-CN"/>
              </w:rPr>
            </w:pPr>
            <w:r>
              <w:rPr>
                <w:rFonts w:hint="eastAsia"/>
                <w:lang w:val="zh-CN"/>
              </w:rPr>
              <w:t>联 系 人：贺</w:t>
            </w:r>
            <w:r>
              <w:rPr>
                <w:rFonts w:hint="eastAsia"/>
              </w:rPr>
              <w:t>老师</w:t>
            </w:r>
          </w:p>
          <w:p>
            <w:pPr>
              <w:pStyle w:val="59"/>
              <w:snapToGrid w:val="0"/>
              <w:spacing w:line="360" w:lineRule="auto"/>
              <w:ind w:firstLine="1440" w:firstLineChars="600"/>
              <w:jc w:val="both"/>
              <w:rPr>
                <w:rFonts w:hint="default" w:eastAsia="宋体"/>
                <w:lang w:val="en-US" w:eastAsia="zh-CN"/>
              </w:rPr>
            </w:pPr>
            <w:r>
              <w:rPr>
                <w:rFonts w:hint="eastAsia"/>
                <w:lang w:val="zh-CN"/>
              </w:rPr>
              <w:t>联系电话：</w:t>
            </w:r>
            <w:r>
              <w:rPr>
                <w:rFonts w:hint="eastAsia"/>
              </w:rPr>
              <w:t>028-68939969</w:t>
            </w:r>
            <w:r>
              <w:rPr>
                <w:rFonts w:hint="eastAsia"/>
                <w:lang w:val="en-US" w:eastAsia="zh-CN"/>
              </w:rPr>
              <w:t xml:space="preserve">  68939921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pPr>
            <w:r>
              <w:rPr>
                <w:rFonts w:hint="eastAsia"/>
              </w:rPr>
              <w:t>2</w:t>
            </w:r>
          </w:p>
        </w:tc>
        <w:tc>
          <w:tcPr>
            <w:tcW w:w="1916" w:type="dxa"/>
            <w:vAlign w:val="center"/>
          </w:tcPr>
          <w:p>
            <w:pPr>
              <w:pStyle w:val="59"/>
              <w:snapToGrid w:val="0"/>
              <w:spacing w:line="360" w:lineRule="auto"/>
              <w:ind w:firstLine="240" w:firstLineChars="100"/>
              <w:jc w:val="center"/>
              <w:rPr>
                <w:lang w:val="zh-CN"/>
              </w:rPr>
            </w:pPr>
            <w:r>
              <w:rPr>
                <w:rFonts w:hint="eastAsia"/>
                <w:lang w:val="zh-CN"/>
              </w:rPr>
              <w:t>项目名称</w:t>
            </w:r>
          </w:p>
        </w:tc>
        <w:tc>
          <w:tcPr>
            <w:tcW w:w="6819" w:type="dxa"/>
            <w:vAlign w:val="center"/>
          </w:tcPr>
          <w:p>
            <w:pPr>
              <w:pStyle w:val="59"/>
              <w:snapToGrid w:val="0"/>
              <w:spacing w:line="360" w:lineRule="auto"/>
              <w:jc w:val="center"/>
              <w:rPr>
                <w:lang w:val="zh-CN"/>
              </w:rPr>
            </w:pPr>
            <w:r>
              <w:rPr>
                <w:rFonts w:hint="eastAsia"/>
                <w:lang w:val="zh-CN"/>
              </w:rPr>
              <w:t>2022年度四川铁道职业学院期刊采购.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2" w:hRule="atLeast"/>
          <w:jc w:val="center"/>
        </w:trPr>
        <w:tc>
          <w:tcPr>
            <w:tcW w:w="771" w:type="dxa"/>
            <w:vAlign w:val="center"/>
          </w:tcPr>
          <w:p>
            <w:pPr>
              <w:pStyle w:val="59"/>
              <w:snapToGrid w:val="0"/>
              <w:spacing w:line="360" w:lineRule="auto"/>
              <w:jc w:val="center"/>
            </w:pPr>
            <w:r>
              <w:rPr>
                <w:rFonts w:hint="eastAsia"/>
              </w:rPr>
              <w:t>3</w:t>
            </w:r>
          </w:p>
        </w:tc>
        <w:tc>
          <w:tcPr>
            <w:tcW w:w="1916" w:type="dxa"/>
            <w:vAlign w:val="center"/>
          </w:tcPr>
          <w:p>
            <w:pPr>
              <w:pStyle w:val="59"/>
              <w:snapToGrid w:val="0"/>
              <w:spacing w:line="360" w:lineRule="auto"/>
              <w:ind w:firstLine="240" w:firstLineChars="100"/>
              <w:jc w:val="center"/>
              <w:rPr>
                <w:lang w:val="zh-CN"/>
              </w:rPr>
            </w:pPr>
            <w:r>
              <w:rPr>
                <w:rFonts w:hint="eastAsia"/>
                <w:lang w:val="zh-CN"/>
              </w:rPr>
              <w:t>招标编号</w:t>
            </w:r>
          </w:p>
        </w:tc>
        <w:tc>
          <w:tcPr>
            <w:tcW w:w="6819" w:type="dxa"/>
            <w:vAlign w:val="center"/>
          </w:tcPr>
          <w:p>
            <w:pPr>
              <w:pStyle w:val="59"/>
              <w:snapToGrid w:val="0"/>
              <w:spacing w:line="360" w:lineRule="auto"/>
              <w:jc w:val="center"/>
              <w:rPr>
                <w:rFonts w:hint="default" w:eastAsia="宋体"/>
                <w:lang w:val="en-US" w:eastAsia="zh-CN"/>
              </w:rPr>
            </w:pPr>
            <w:r>
              <w:rPr>
                <w:rFonts w:hint="eastAsia"/>
                <w:lang w:val="en-US" w:eastAsia="zh-CN"/>
              </w:rPr>
              <w:t>TZY-2021021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pPr>
            <w:r>
              <w:rPr>
                <w:rFonts w:hint="eastAsia"/>
              </w:rPr>
              <w:t>4</w:t>
            </w:r>
          </w:p>
        </w:tc>
        <w:tc>
          <w:tcPr>
            <w:tcW w:w="1916" w:type="dxa"/>
            <w:vAlign w:val="center"/>
          </w:tcPr>
          <w:p>
            <w:pPr>
              <w:pStyle w:val="59"/>
              <w:snapToGrid w:val="0"/>
              <w:spacing w:line="360" w:lineRule="auto"/>
              <w:ind w:firstLine="240" w:firstLineChars="100"/>
              <w:jc w:val="center"/>
              <w:rPr>
                <w:lang w:val="zh-CN"/>
              </w:rPr>
            </w:pPr>
            <w:r>
              <w:rPr>
                <w:rFonts w:hint="eastAsia"/>
                <w:lang w:val="zh-CN"/>
              </w:rPr>
              <w:t>资金来源</w:t>
            </w:r>
          </w:p>
        </w:tc>
        <w:tc>
          <w:tcPr>
            <w:tcW w:w="6819" w:type="dxa"/>
            <w:vAlign w:val="center"/>
          </w:tcPr>
          <w:p>
            <w:pPr>
              <w:pStyle w:val="59"/>
              <w:snapToGrid w:val="0"/>
              <w:spacing w:line="360" w:lineRule="auto"/>
              <w:jc w:val="center"/>
              <w:rPr>
                <w:lang w:val="zh-CN"/>
              </w:rPr>
            </w:pPr>
            <w:r>
              <w:rPr>
                <w:rFonts w:hint="eastAsia"/>
              </w:rPr>
              <w:t>财政</w:t>
            </w:r>
            <w:r>
              <w:rPr>
                <w:rFonts w:hint="eastAsia"/>
                <w:lang w:val="zh-CN"/>
              </w:rPr>
              <w:t>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5</w:t>
            </w:r>
          </w:p>
        </w:tc>
        <w:tc>
          <w:tcPr>
            <w:tcW w:w="1916" w:type="dxa"/>
            <w:vAlign w:val="center"/>
          </w:tcPr>
          <w:p>
            <w:pPr>
              <w:pStyle w:val="59"/>
              <w:snapToGrid w:val="0"/>
              <w:spacing w:line="360" w:lineRule="auto"/>
              <w:ind w:firstLine="240" w:firstLineChars="100"/>
              <w:jc w:val="center"/>
              <w:rPr>
                <w:lang w:val="zh-CN"/>
              </w:rPr>
            </w:pPr>
            <w:r>
              <w:rPr>
                <w:rFonts w:hint="eastAsia"/>
                <w:lang w:val="zh-CN"/>
              </w:rPr>
              <w:t>预算金额</w:t>
            </w:r>
          </w:p>
        </w:tc>
        <w:tc>
          <w:tcPr>
            <w:tcW w:w="6819" w:type="dxa"/>
            <w:vAlign w:val="center"/>
          </w:tcPr>
          <w:p>
            <w:pPr>
              <w:pStyle w:val="59"/>
              <w:snapToGrid w:val="0"/>
              <w:spacing w:line="360" w:lineRule="auto"/>
              <w:jc w:val="center"/>
            </w:pPr>
            <w:r>
              <w:rPr>
                <w:rFonts w:hint="eastAsia"/>
              </w:rPr>
              <w:t>13.5万元.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9"/>
              <w:snapToGrid w:val="0"/>
              <w:spacing w:line="360" w:lineRule="auto"/>
              <w:jc w:val="center"/>
            </w:pPr>
            <w:r>
              <w:rPr>
                <w:rFonts w:hint="eastAsia"/>
              </w:rPr>
              <w:t>6</w:t>
            </w:r>
          </w:p>
        </w:tc>
        <w:tc>
          <w:tcPr>
            <w:tcW w:w="1916" w:type="dxa"/>
            <w:vAlign w:val="center"/>
          </w:tcPr>
          <w:p>
            <w:pPr>
              <w:pStyle w:val="59"/>
              <w:snapToGrid w:val="0"/>
              <w:spacing w:line="360" w:lineRule="auto"/>
              <w:jc w:val="center"/>
              <w:rPr>
                <w:lang w:val="zh-CN"/>
              </w:rPr>
            </w:pPr>
            <w:r>
              <w:rPr>
                <w:rFonts w:hint="eastAsia"/>
                <w:lang w:val="zh-CN"/>
              </w:rPr>
              <w:t>构成招标文件的其他文件</w:t>
            </w:r>
          </w:p>
        </w:tc>
        <w:tc>
          <w:tcPr>
            <w:tcW w:w="6819" w:type="dxa"/>
            <w:vAlign w:val="center"/>
          </w:tcPr>
          <w:p>
            <w:pPr>
              <w:pStyle w:val="59"/>
              <w:snapToGrid w:val="0"/>
              <w:spacing w:line="360" w:lineRule="auto"/>
              <w:ind w:left="170" w:leftChars="50"/>
              <w:jc w:val="center"/>
              <w:rPr>
                <w:lang w:val="zh-CN"/>
              </w:rPr>
            </w:pPr>
            <w:r>
              <w:rPr>
                <w:rFonts w:hint="eastAsia"/>
                <w:lang w:val="zh-CN"/>
              </w:rPr>
              <w:t>招标文件的澄清、修改书及有关补充通知为招标文件的有效组成部分。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7</w:t>
            </w:r>
          </w:p>
        </w:tc>
        <w:tc>
          <w:tcPr>
            <w:tcW w:w="1916" w:type="dxa"/>
            <w:vAlign w:val="center"/>
          </w:tcPr>
          <w:p>
            <w:pPr>
              <w:pStyle w:val="59"/>
              <w:snapToGrid w:val="0"/>
              <w:spacing w:line="360" w:lineRule="auto"/>
              <w:ind w:firstLine="240" w:firstLineChars="100"/>
              <w:jc w:val="center"/>
              <w:rPr>
                <w:lang w:val="zh-CN"/>
              </w:rPr>
            </w:pPr>
            <w:r>
              <w:rPr>
                <w:rFonts w:hint="eastAsia"/>
                <w:lang w:val="zh-CN"/>
              </w:rPr>
              <w:t>采购方式</w:t>
            </w:r>
          </w:p>
        </w:tc>
        <w:tc>
          <w:tcPr>
            <w:tcW w:w="6819" w:type="dxa"/>
            <w:vAlign w:val="center"/>
          </w:tcPr>
          <w:p>
            <w:pPr>
              <w:pStyle w:val="59"/>
              <w:snapToGrid w:val="0"/>
              <w:spacing w:line="360" w:lineRule="auto"/>
              <w:ind w:firstLine="240" w:firstLineChars="100"/>
              <w:jc w:val="center"/>
              <w:rPr>
                <w:lang w:val="zh-CN"/>
              </w:rPr>
            </w:pPr>
            <w:r>
              <w:rPr>
                <w:rFonts w:hint="eastAsia"/>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8</w:t>
            </w:r>
          </w:p>
        </w:tc>
        <w:tc>
          <w:tcPr>
            <w:tcW w:w="1916" w:type="dxa"/>
            <w:vAlign w:val="center"/>
          </w:tcPr>
          <w:p>
            <w:pPr>
              <w:pStyle w:val="59"/>
              <w:snapToGrid w:val="0"/>
              <w:spacing w:line="360" w:lineRule="auto"/>
              <w:ind w:firstLine="240" w:firstLineChars="100"/>
              <w:jc w:val="center"/>
              <w:rPr>
                <w:lang w:val="zh-CN"/>
              </w:rPr>
            </w:pPr>
            <w:r>
              <w:rPr>
                <w:rFonts w:hint="eastAsia"/>
                <w:lang w:val="zh-CN"/>
              </w:rPr>
              <w:t>评标方法</w:t>
            </w:r>
          </w:p>
        </w:tc>
        <w:tc>
          <w:tcPr>
            <w:tcW w:w="6819" w:type="dxa"/>
            <w:vAlign w:val="center"/>
          </w:tcPr>
          <w:p>
            <w:pPr>
              <w:pStyle w:val="59"/>
              <w:snapToGrid w:val="0"/>
              <w:spacing w:line="360" w:lineRule="auto"/>
              <w:ind w:firstLine="240" w:firstLineChars="100"/>
              <w:jc w:val="center"/>
              <w:rPr>
                <w:lang w:val="zh-CN"/>
              </w:rPr>
            </w:pPr>
            <w:r>
              <w:rPr>
                <w:rFonts w:hint="eastAsia"/>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9</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投标有效期</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jc w:val="center"/>
            </w:pPr>
            <w:r>
              <w:rPr>
                <w:rFonts w:hint="eastAsia"/>
                <w:lang w:val="zh-CN"/>
              </w:rPr>
              <w:t>投标截止之日起30天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10</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投标文件份数</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jc w:val="center"/>
            </w:pPr>
            <w:r>
              <w:rPr>
                <w:rFonts w:hint="eastAsia"/>
                <w:lang w:val="zh-CN"/>
              </w:rPr>
              <w:t>正本一套，用于唱标的“投标报价表”一份。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11</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装订要求</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jc w:val="center"/>
            </w:pPr>
            <w:r>
              <w:rPr>
                <w:rFonts w:hint="eastAsia"/>
                <w:lang w:val="zh-CN"/>
              </w:rPr>
              <w:t>正本装订，不得有活页。</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2"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12</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投标文件、投标报价表的包装和密封</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jc w:val="center"/>
            </w:pPr>
            <w:r>
              <w:rPr>
                <w:rFonts w:hint="eastAsia"/>
                <w:lang w:val="zh-CN"/>
              </w:rPr>
              <w:t>投标文件、“投标报价表”分别包装和密封，同时递交采购人。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3"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13</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投标文件递交</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rPr>
                <w:lang w:val="zh-CN"/>
              </w:rPr>
            </w:pPr>
            <w:r>
              <w:rPr>
                <w:rFonts w:hint="eastAsia"/>
                <w:lang w:val="zh-CN"/>
              </w:rPr>
              <w:t>a.时间和地点详见 “投标邀请”;</w:t>
            </w:r>
          </w:p>
          <w:p>
            <w:pPr>
              <w:pStyle w:val="59"/>
              <w:snapToGrid w:val="0"/>
              <w:spacing w:line="360" w:lineRule="auto"/>
              <w:rPr>
                <w:lang w:val="zh-CN"/>
              </w:rPr>
            </w:pPr>
            <w:r>
              <w:rPr>
                <w:rFonts w:hint="eastAsia"/>
                <w:lang w:val="zh-CN"/>
              </w:rPr>
              <w:t>b.采购人在招标文件规定的时间和地点组织开标，投标人代表人执有效身份证参加。</w:t>
            </w:r>
          </w:p>
          <w:p>
            <w:pPr>
              <w:pStyle w:val="59"/>
              <w:snapToGrid w:val="0"/>
              <w:spacing w:line="360" w:lineRule="auto"/>
            </w:pPr>
            <w:r>
              <w:rPr>
                <w:rFonts w:hint="eastAsia"/>
                <w:lang w:val="zh-CN"/>
              </w:rPr>
              <w:t>c.其他要求详见第二章“投标文件”第</w:t>
            </w:r>
            <w:r>
              <w:rPr>
                <w:rFonts w:hint="eastAsia"/>
              </w:rPr>
              <w:t>11</w:t>
            </w:r>
            <w:r>
              <w:rPr>
                <w:rFonts w:hint="eastAsia"/>
                <w:lang w:val="zh-CN"/>
              </w:rPr>
              <w:t>条“投标文件的递交”。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14</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both"/>
              <w:rPr>
                <w:lang w:val="zh-CN"/>
              </w:rPr>
            </w:pPr>
            <w:r>
              <w:rPr>
                <w:rFonts w:hint="eastAsia"/>
                <w:lang w:val="zh-CN"/>
              </w:rPr>
              <w:t>开标时间、地点</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rPr>
                <w:highlight w:val="yellow"/>
                <w:lang w:val="zh-CN"/>
              </w:rPr>
            </w:pPr>
            <w:r>
              <w:rPr>
                <w:rFonts w:hint="eastAsia"/>
                <w:lang w:val="zh-CN"/>
              </w:rPr>
              <w:t>时间：</w:t>
            </w:r>
            <w:r>
              <w:rPr>
                <w:rFonts w:hint="eastAsia"/>
              </w:rPr>
              <w:t>2021</w:t>
            </w:r>
            <w:r>
              <w:rPr>
                <w:rFonts w:hint="eastAsia"/>
                <w:lang w:val="zh-CN"/>
              </w:rPr>
              <w:t>年</w:t>
            </w:r>
            <w:r>
              <w:rPr>
                <w:rFonts w:hint="eastAsia"/>
              </w:rPr>
              <w:t xml:space="preserve"> </w:t>
            </w:r>
            <w:r>
              <w:rPr>
                <w:rFonts w:hint="eastAsia"/>
                <w:lang w:val="en-US" w:eastAsia="zh-CN"/>
              </w:rPr>
              <w:t>10</w:t>
            </w:r>
            <w:r>
              <w:rPr>
                <w:rFonts w:hint="eastAsia"/>
              </w:rPr>
              <w:t xml:space="preserve"> 月 </w:t>
            </w:r>
            <w:r>
              <w:rPr>
                <w:rFonts w:hint="eastAsia"/>
                <w:lang w:val="en-US" w:eastAsia="zh-CN"/>
              </w:rPr>
              <w:t>20</w:t>
            </w:r>
            <w:r>
              <w:rPr>
                <w:rFonts w:hint="eastAsia"/>
              </w:rPr>
              <w:t xml:space="preserve"> </w:t>
            </w:r>
            <w:r>
              <w:rPr>
                <w:rFonts w:hint="eastAsia"/>
                <w:lang w:val="zh-CN"/>
              </w:rPr>
              <w:t>日</w:t>
            </w:r>
            <w:r>
              <w:rPr>
                <w:rFonts w:hint="eastAsia"/>
                <w:lang w:val="en-US" w:eastAsia="zh-CN"/>
              </w:rPr>
              <w:t xml:space="preserve"> 10:00 </w:t>
            </w:r>
            <w:r>
              <w:rPr>
                <w:rFonts w:hint="eastAsia"/>
                <w:lang w:val="zh-CN"/>
              </w:rPr>
              <w:t>（北京时间）</w:t>
            </w:r>
          </w:p>
          <w:p>
            <w:pPr>
              <w:pStyle w:val="59"/>
              <w:snapToGrid w:val="0"/>
              <w:spacing w:line="360" w:lineRule="auto"/>
              <w:ind w:firstLine="240" w:firstLineChars="100"/>
            </w:pPr>
            <w:r>
              <w:rPr>
                <w:rFonts w:hint="eastAsia"/>
                <w:lang w:val="zh-CN"/>
              </w:rPr>
              <w:t>地点：</w:t>
            </w:r>
            <w:r>
              <w:rPr>
                <w:rFonts w:hint="eastAsia"/>
              </w:rPr>
              <w:t>四川成都郫县安德镇彭温路399号后勤基建2F开标室</w:t>
            </w:r>
          </w:p>
        </w:tc>
      </w:tr>
    </w:tbl>
    <w:p>
      <w:pPr>
        <w:snapToGrid w:val="0"/>
        <w:spacing w:line="360" w:lineRule="auto"/>
        <w:rPr>
          <w:rFonts w:hAnsi="宋体" w:cs="宋体"/>
          <w:bCs/>
          <w:sz w:val="30"/>
          <w:szCs w:val="30"/>
        </w:rPr>
      </w:pPr>
    </w:p>
    <w:p>
      <w:pPr>
        <w:pStyle w:val="5"/>
        <w:snapToGrid w:val="0"/>
        <w:spacing w:before="0" w:after="0" w:line="360" w:lineRule="auto"/>
        <w:jc w:val="center"/>
        <w:rPr>
          <w:rFonts w:ascii="宋体" w:hAnsi="宋体" w:eastAsia="宋体" w:cs="宋体"/>
          <w:sz w:val="30"/>
          <w:szCs w:val="30"/>
        </w:rPr>
      </w:pPr>
      <w:bookmarkStart w:id="17" w:name="_Toc77400779"/>
      <w:bookmarkStart w:id="18" w:name="_Toc217446038"/>
      <w:bookmarkStart w:id="19" w:name="_Toc183682346"/>
      <w:bookmarkStart w:id="20" w:name="_Toc89075875"/>
      <w:bookmarkStart w:id="21" w:name="_Toc183582209"/>
      <w:r>
        <w:rPr>
          <w:rFonts w:hint="eastAsia" w:ascii="宋体" w:hAnsi="宋体" w:eastAsia="宋体" w:cs="宋体"/>
          <w:sz w:val="30"/>
          <w:szCs w:val="30"/>
        </w:rPr>
        <w:t>二、招标文件</w:t>
      </w:r>
      <w:bookmarkEnd w:id="17"/>
      <w:bookmarkEnd w:id="18"/>
      <w:bookmarkEnd w:id="19"/>
      <w:bookmarkEnd w:id="20"/>
      <w:bookmarkEnd w:id="21"/>
    </w:p>
    <w:p>
      <w:pPr>
        <w:pStyle w:val="6"/>
        <w:snapToGrid w:val="0"/>
        <w:spacing w:before="0" w:after="0" w:line="360" w:lineRule="auto"/>
        <w:ind w:firstLine="161" w:firstLineChars="67"/>
        <w:rPr>
          <w:rFonts w:hAnsi="宋体" w:cs="宋体"/>
          <w:sz w:val="24"/>
          <w:szCs w:val="24"/>
        </w:rPr>
      </w:pPr>
      <w:bookmarkStart w:id="22" w:name="_Toc183582210"/>
      <w:bookmarkStart w:id="23" w:name="_Toc217446039"/>
      <w:bookmarkStart w:id="24" w:name="_Toc183682347"/>
      <w:r>
        <w:rPr>
          <w:rFonts w:hint="eastAsia" w:hAnsi="宋体" w:cs="宋体"/>
          <w:sz w:val="24"/>
          <w:szCs w:val="24"/>
        </w:rPr>
        <w:t>1．招标文件的构成</w:t>
      </w:r>
      <w:bookmarkEnd w:id="22"/>
      <w:bookmarkEnd w:id="23"/>
      <w:bookmarkEnd w:id="24"/>
    </w:p>
    <w:p>
      <w:pPr>
        <w:tabs>
          <w:tab w:val="left" w:pos="720"/>
        </w:tabs>
        <w:snapToGrid w:val="0"/>
        <w:spacing w:line="360" w:lineRule="auto"/>
        <w:ind w:firstLine="484" w:firstLineChars="202"/>
        <w:rPr>
          <w:rFonts w:hAnsi="宋体" w:cs="宋体"/>
          <w:sz w:val="24"/>
          <w:szCs w:val="24"/>
        </w:rPr>
      </w:pPr>
      <w:r>
        <w:rPr>
          <w:rFonts w:hint="eastAsia" w:hAnsi="宋体" w:cs="宋体"/>
          <w:sz w:val="24"/>
          <w:szCs w:val="24"/>
        </w:rPr>
        <w:t>1</w:t>
      </w:r>
      <w:r>
        <w:rPr>
          <w:rFonts w:hint="eastAsia" w:hAnsi="宋体" w:cs="宋体"/>
          <w:b/>
          <w:bCs/>
          <w:sz w:val="24"/>
          <w:szCs w:val="24"/>
        </w:rPr>
        <w:t>.</w:t>
      </w:r>
      <w:r>
        <w:rPr>
          <w:rFonts w:hint="eastAsia" w:hAnsi="宋体" w:cs="宋体"/>
          <w:sz w:val="24"/>
          <w:szCs w:val="24"/>
        </w:rPr>
        <w:t>1本招标文件包括以下内容：</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（一）投标邀请；</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（二）投标人须知；</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（三）投标文件格式；</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（四）招标项目技术、商务及其他要求；</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（五）评标办法；</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（六）合同主要条款；</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b/>
          <w:bCs/>
          <w:sz w:val="24"/>
          <w:szCs w:val="24"/>
        </w:rPr>
        <w:t>.</w:t>
      </w:r>
      <w:r>
        <w:rPr>
          <w:rFonts w:hint="eastAsia" w:hAnsi="宋体" w:cs="宋体"/>
          <w:sz w:val="24"/>
          <w:szCs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snapToGrid w:val="0"/>
        <w:spacing w:before="0" w:after="0" w:line="360" w:lineRule="auto"/>
        <w:ind w:firstLine="161" w:firstLineChars="67"/>
        <w:rPr>
          <w:rFonts w:hAnsi="宋体" w:cs="宋体"/>
          <w:sz w:val="24"/>
          <w:szCs w:val="24"/>
        </w:rPr>
      </w:pPr>
      <w:bookmarkStart w:id="25" w:name="_Toc183682348"/>
      <w:bookmarkStart w:id="26" w:name="_Toc183582211"/>
      <w:bookmarkStart w:id="27" w:name="_Toc217446040"/>
      <w:r>
        <w:rPr>
          <w:rFonts w:hint="eastAsia" w:hAnsi="宋体" w:cs="宋体"/>
          <w:sz w:val="24"/>
          <w:szCs w:val="24"/>
        </w:rPr>
        <w:t>2. 招标文件的澄清</w:t>
      </w:r>
      <w:bookmarkEnd w:id="25"/>
      <w:bookmarkEnd w:id="26"/>
      <w:r>
        <w:rPr>
          <w:rFonts w:hint="eastAsia" w:hAnsi="宋体" w:cs="宋体"/>
          <w:sz w:val="24"/>
          <w:szCs w:val="24"/>
        </w:rPr>
        <w:t>和修改</w:t>
      </w:r>
      <w:bookmarkEnd w:id="27"/>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2.1 在投标截止时间前，招标采购单位可以对招标文件进行澄清或者修改。</w:t>
      </w:r>
    </w:p>
    <w:p>
      <w:pPr>
        <w:snapToGrid w:val="0"/>
        <w:spacing w:line="360" w:lineRule="auto"/>
        <w:ind w:left="3" w:leftChars="1" w:firstLine="240" w:firstLineChars="100"/>
        <w:rPr>
          <w:rFonts w:hAnsi="宋体" w:cs="宋体"/>
          <w:sz w:val="24"/>
          <w:szCs w:val="24"/>
        </w:rPr>
      </w:pPr>
      <w:r>
        <w:rPr>
          <w:rFonts w:hint="eastAsia" w:hAnsi="宋体" w:cs="宋体"/>
          <w:sz w:val="24"/>
          <w:szCs w:val="24"/>
        </w:rPr>
        <w:t>2.2要求对招标文件进行澄清的投标人，均应通知招标人，招标人应对招标文件进行澄清。</w:t>
      </w:r>
    </w:p>
    <w:p>
      <w:pPr>
        <w:pStyle w:val="5"/>
        <w:snapToGrid w:val="0"/>
        <w:spacing w:before="0" w:after="0" w:line="360" w:lineRule="auto"/>
        <w:jc w:val="center"/>
        <w:rPr>
          <w:rFonts w:ascii="宋体" w:hAnsi="宋体" w:eastAsia="宋体" w:cs="宋体"/>
          <w:sz w:val="30"/>
          <w:szCs w:val="30"/>
        </w:rPr>
      </w:pPr>
      <w:bookmarkStart w:id="28" w:name="_Toc217446042"/>
      <w:bookmarkStart w:id="29" w:name="_Toc183682351"/>
      <w:bookmarkStart w:id="30" w:name="_Toc77400780"/>
      <w:bookmarkStart w:id="31" w:name="_Toc89075876"/>
      <w:bookmarkStart w:id="32" w:name="_Toc183582214"/>
      <w:r>
        <w:rPr>
          <w:rFonts w:hint="eastAsia" w:ascii="宋体" w:hAnsi="宋体" w:eastAsia="宋体" w:cs="宋体"/>
          <w:sz w:val="30"/>
          <w:szCs w:val="30"/>
        </w:rPr>
        <w:t>三、投标文件</w:t>
      </w:r>
      <w:bookmarkEnd w:id="28"/>
      <w:bookmarkEnd w:id="29"/>
      <w:bookmarkEnd w:id="30"/>
      <w:bookmarkEnd w:id="31"/>
      <w:bookmarkEnd w:id="32"/>
    </w:p>
    <w:p>
      <w:pPr>
        <w:pStyle w:val="6"/>
        <w:snapToGrid w:val="0"/>
        <w:spacing w:before="0" w:after="0" w:line="360" w:lineRule="auto"/>
        <w:ind w:firstLine="161" w:firstLineChars="67"/>
        <w:rPr>
          <w:rFonts w:hAnsi="宋体" w:cs="宋体"/>
          <w:sz w:val="24"/>
          <w:szCs w:val="24"/>
        </w:rPr>
      </w:pPr>
      <w:bookmarkStart w:id="33" w:name="_Toc183582215"/>
      <w:bookmarkStart w:id="34" w:name="_Toc217446043"/>
      <w:bookmarkStart w:id="35" w:name="_Toc183682352"/>
      <w:r>
        <w:rPr>
          <w:rFonts w:hint="eastAsia" w:hAnsi="宋体" w:cs="宋体"/>
          <w:sz w:val="24"/>
          <w:szCs w:val="24"/>
        </w:rPr>
        <w:t>3．投标文件的语言</w:t>
      </w:r>
      <w:bookmarkEnd w:id="33"/>
      <w:bookmarkEnd w:id="34"/>
      <w:bookmarkEnd w:id="35"/>
    </w:p>
    <w:p>
      <w:pPr>
        <w:snapToGrid w:val="0"/>
        <w:spacing w:line="360" w:lineRule="auto"/>
        <w:ind w:firstLine="480" w:firstLineChars="200"/>
        <w:rPr>
          <w:rFonts w:hAnsi="宋体" w:cs="宋体"/>
          <w:sz w:val="24"/>
          <w:szCs w:val="24"/>
        </w:rPr>
      </w:pPr>
      <w:r>
        <w:rPr>
          <w:rFonts w:hint="eastAsia" w:hAnsi="宋体" w:cs="宋体"/>
          <w:sz w:val="24"/>
          <w:szCs w:val="24"/>
        </w:rPr>
        <w:t>投标人提交的投标文件以及投标人与招标采购单位就有关投标的所有来往书面文件均须使用中文。</w:t>
      </w:r>
    </w:p>
    <w:p>
      <w:pPr>
        <w:pStyle w:val="6"/>
        <w:snapToGrid w:val="0"/>
        <w:spacing w:before="0" w:after="0" w:line="360" w:lineRule="auto"/>
        <w:ind w:firstLine="161" w:firstLineChars="67"/>
        <w:rPr>
          <w:rFonts w:hAnsi="宋体" w:cs="宋体"/>
          <w:sz w:val="24"/>
          <w:szCs w:val="24"/>
        </w:rPr>
      </w:pPr>
      <w:bookmarkStart w:id="36" w:name="_Toc217446045"/>
      <w:r>
        <w:rPr>
          <w:rFonts w:hint="eastAsia" w:hAnsi="宋体" w:cs="宋体"/>
          <w:sz w:val="24"/>
          <w:szCs w:val="24"/>
        </w:rPr>
        <w:t>4. 投标货币</w:t>
      </w:r>
      <w:bookmarkEnd w:id="36"/>
    </w:p>
    <w:p>
      <w:pPr>
        <w:tabs>
          <w:tab w:val="left" w:pos="7665"/>
        </w:tabs>
        <w:snapToGrid w:val="0"/>
        <w:spacing w:line="360" w:lineRule="auto"/>
        <w:ind w:hanging="118"/>
        <w:rPr>
          <w:rFonts w:hAnsi="宋体" w:cs="宋体"/>
          <w:sz w:val="24"/>
          <w:szCs w:val="24"/>
        </w:rPr>
      </w:pPr>
      <w:r>
        <w:rPr>
          <w:rFonts w:hint="eastAsia" w:hAnsi="宋体" w:cs="宋体"/>
          <w:sz w:val="24"/>
          <w:szCs w:val="24"/>
        </w:rPr>
        <w:t>本次招标项目的投标均以人民币报价。</w:t>
      </w:r>
    </w:p>
    <w:p>
      <w:pPr>
        <w:pStyle w:val="6"/>
        <w:snapToGrid w:val="0"/>
        <w:spacing w:before="0" w:after="0" w:line="360" w:lineRule="auto"/>
        <w:ind w:firstLine="161" w:firstLineChars="67"/>
        <w:rPr>
          <w:rFonts w:hAnsi="宋体" w:cs="宋体"/>
          <w:sz w:val="24"/>
          <w:szCs w:val="24"/>
        </w:rPr>
      </w:pPr>
      <w:bookmarkStart w:id="37" w:name="_Toc217446047"/>
      <w:r>
        <w:rPr>
          <w:rFonts w:hint="eastAsia" w:hAnsi="宋体" w:cs="宋体"/>
          <w:sz w:val="24"/>
          <w:szCs w:val="24"/>
        </w:rPr>
        <w:t>5. 知识产权</w:t>
      </w:r>
      <w:bookmarkEnd w:id="37"/>
    </w:p>
    <w:p>
      <w:pPr>
        <w:pStyle w:val="10"/>
        <w:snapToGrid w:val="0"/>
        <w:spacing w:line="360" w:lineRule="auto"/>
        <w:ind w:firstLine="484" w:firstLineChars="202"/>
        <w:rPr>
          <w:rFonts w:ascii="宋体" w:hAnsi="宋体" w:cs="宋体"/>
          <w:sz w:val="24"/>
          <w:szCs w:val="24"/>
        </w:rPr>
      </w:pPr>
      <w:r>
        <w:rPr>
          <w:rFonts w:hint="eastAsia" w:hAnsi="宋体" w:cs="宋体"/>
          <w:sz w:val="24"/>
          <w:szCs w:val="24"/>
        </w:rPr>
        <w:t>5</w:t>
      </w:r>
      <w:r>
        <w:rPr>
          <w:rFonts w:hint="eastAsia" w:ascii="宋体" w:hAnsi="宋体" w:cs="宋体"/>
          <w:sz w:val="24"/>
          <w:szCs w:val="24"/>
        </w:rPr>
        <w:t>.1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napToGrid w:val="0"/>
        <w:spacing w:line="360" w:lineRule="auto"/>
        <w:ind w:firstLine="484" w:firstLineChars="202"/>
        <w:rPr>
          <w:rFonts w:ascii="宋体" w:hAnsi="宋体" w:cs="宋体"/>
          <w:sz w:val="24"/>
          <w:szCs w:val="24"/>
        </w:rPr>
      </w:pPr>
      <w:r>
        <w:rPr>
          <w:rFonts w:hint="eastAsia" w:hAnsi="宋体" w:cs="宋体"/>
          <w:sz w:val="24"/>
          <w:szCs w:val="24"/>
        </w:rPr>
        <w:t>5</w:t>
      </w:r>
      <w:r>
        <w:rPr>
          <w:rFonts w:hint="eastAsia" w:ascii="宋体" w:hAnsi="宋体" w:cs="宋体"/>
          <w:sz w:val="24"/>
          <w:szCs w:val="24"/>
        </w:rPr>
        <w:t>.2 采购人享有本项目实施过程中产生的知识成果及知识产权。</w:t>
      </w:r>
    </w:p>
    <w:p>
      <w:pPr>
        <w:pStyle w:val="6"/>
        <w:snapToGrid w:val="0"/>
        <w:spacing w:before="0" w:after="0" w:line="360" w:lineRule="auto"/>
        <w:ind w:firstLine="161" w:firstLineChars="67"/>
        <w:rPr>
          <w:rFonts w:hAnsi="宋体" w:cs="宋体"/>
          <w:sz w:val="24"/>
          <w:szCs w:val="24"/>
        </w:rPr>
      </w:pPr>
      <w:bookmarkStart w:id="38" w:name="_Toc183682354"/>
      <w:bookmarkStart w:id="39" w:name="_Toc217446048"/>
      <w:bookmarkStart w:id="40" w:name="_Toc183582217"/>
      <w:bookmarkStart w:id="41" w:name="_Toc217446093"/>
      <w:bookmarkStart w:id="42" w:name="_Toc358883246"/>
      <w:r>
        <w:rPr>
          <w:rFonts w:hint="eastAsia" w:hAnsi="宋体" w:cs="宋体"/>
          <w:sz w:val="24"/>
          <w:szCs w:val="24"/>
        </w:rPr>
        <w:t>6．投标文件的组成</w:t>
      </w:r>
      <w:bookmarkEnd w:id="38"/>
      <w:bookmarkEnd w:id="39"/>
      <w:bookmarkEnd w:id="40"/>
      <w:bookmarkStart w:id="43" w:name="_Toc217446049"/>
      <w:bookmarkStart w:id="44" w:name="_Toc183582218"/>
      <w:bookmarkStart w:id="45" w:name="_Toc183682355"/>
      <w:r>
        <w:rPr>
          <w:rFonts w:hint="eastAsia" w:hAnsi="宋体" w:cs="宋体"/>
          <w:sz w:val="24"/>
          <w:szCs w:val="24"/>
        </w:rPr>
        <w:t>。</w:t>
      </w:r>
    </w:p>
    <w:p>
      <w:pPr>
        <w:pStyle w:val="6"/>
        <w:snapToGrid w:val="0"/>
        <w:spacing w:before="0" w:after="0" w:line="360" w:lineRule="auto"/>
        <w:ind w:firstLine="640" w:firstLineChars="267"/>
        <w:rPr>
          <w:rFonts w:hAnsi="宋体" w:cs="宋体"/>
          <w:sz w:val="24"/>
          <w:szCs w:val="24"/>
        </w:rPr>
      </w:pPr>
      <w:r>
        <w:rPr>
          <w:rFonts w:hint="eastAsia" w:hAnsi="宋体" w:cs="宋体"/>
          <w:b w:val="0"/>
          <w:kern w:val="2"/>
          <w:sz w:val="24"/>
          <w:szCs w:val="24"/>
        </w:rPr>
        <w:t>投标文件包括：</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（1） 投标函</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法定代表人授权书</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投标报价表</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分项报价明细表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商务应答表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投标人近三年类似项目业绩一览表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投标人认为有必要补充说明的相关信息</w:t>
      </w:r>
    </w:p>
    <w:p>
      <w:pPr>
        <w:pStyle w:val="6"/>
        <w:snapToGrid w:val="0"/>
        <w:spacing w:before="0" w:after="0" w:line="360" w:lineRule="auto"/>
        <w:ind w:firstLine="161" w:firstLineChars="67"/>
        <w:rPr>
          <w:rFonts w:hAnsi="宋体" w:cs="宋体"/>
          <w:sz w:val="24"/>
          <w:szCs w:val="24"/>
        </w:rPr>
      </w:pPr>
      <w:r>
        <w:rPr>
          <w:rFonts w:hint="eastAsia" w:hAnsi="宋体" w:cs="宋体"/>
          <w:sz w:val="24"/>
          <w:szCs w:val="24"/>
        </w:rPr>
        <w:t>7.投标文件的说明。</w:t>
      </w:r>
    </w:p>
    <w:p>
      <w:pPr>
        <w:pStyle w:val="10"/>
        <w:snapToGrid w:val="0"/>
        <w:spacing w:line="360" w:lineRule="auto"/>
        <w:ind w:left="120" w:firstLine="240" w:firstLineChars="100"/>
        <w:rPr>
          <w:rFonts w:ascii="宋体" w:hAnsi="宋体" w:cs="宋体"/>
          <w:sz w:val="24"/>
          <w:szCs w:val="24"/>
        </w:rPr>
      </w:pPr>
      <w:r>
        <w:rPr>
          <w:rFonts w:hint="eastAsia" w:ascii="宋体" w:hAnsi="宋体" w:cs="宋体"/>
          <w:sz w:val="24"/>
          <w:szCs w:val="24"/>
        </w:rPr>
        <w:t>7.1报价部分。投标人按照招标文件要求填写“投标报价表”及“分项报价明细表”。 本次招标报价要求：</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（1）投标人的报价是投标人响应招标项目要求的全部工作内容的价格体现，包括投标人完成本项目所需的一切费用。</w:t>
      </w:r>
    </w:p>
    <w:p>
      <w:pPr>
        <w:pStyle w:val="10"/>
        <w:snapToGrid w:val="0"/>
        <w:spacing w:line="360" w:lineRule="auto"/>
        <w:ind w:firstLine="480" w:firstLineChars="200"/>
        <w:rPr>
          <w:rFonts w:ascii="宋体" w:hAnsi="宋体" w:cs="宋体"/>
          <w:sz w:val="24"/>
          <w:szCs w:val="24"/>
        </w:rPr>
      </w:pPr>
      <w:r>
        <w:rPr>
          <w:rFonts w:hint="eastAsia" w:ascii="宋体" w:hAnsi="宋体" w:cs="宋体"/>
          <w:sz w:val="24"/>
          <w:szCs w:val="24"/>
        </w:rPr>
        <w:t>（2）投标人每种货物只允许有一个报价，并且在合同履行过程中是固定不变的，任何有选择或可调整的报价将不予接受，并按无效投标处理。</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7.2 技术部分。投标人按照招标文件要求做出的技术应答，主要是针对招标项目的技术指标、参数和技术要求做出的实质性响应和满足。投标人的技术应答应包括下列内容：</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（1）投标产品的品牌、型号、配置；</w:t>
      </w:r>
    </w:p>
    <w:p>
      <w:pPr>
        <w:pStyle w:val="10"/>
        <w:snapToGrid w:val="0"/>
        <w:spacing w:line="360" w:lineRule="auto"/>
        <w:ind w:firstLine="0"/>
        <w:rPr>
          <w:rFonts w:ascii="宋体" w:hAnsi="宋体" w:cs="宋体"/>
          <w:sz w:val="24"/>
          <w:szCs w:val="24"/>
        </w:rPr>
      </w:pPr>
      <w:r>
        <w:rPr>
          <w:rFonts w:hint="eastAsia" w:ascii="宋体" w:hAnsi="宋体" w:cs="宋体"/>
          <w:sz w:val="24"/>
          <w:szCs w:val="24"/>
        </w:rPr>
        <w:t>（2）投标产品本身的详细的技术指标和参数（尽可能提供检测报告、产品使用说明书、用户手册等材料予以佐证）；</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（3）技术方案、项目实施方案；</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（4）投标产品技术参数表。</w:t>
      </w:r>
    </w:p>
    <w:p>
      <w:pPr>
        <w:snapToGrid w:val="0"/>
        <w:spacing w:line="360" w:lineRule="auto"/>
        <w:ind w:firstLine="400" w:firstLineChars="167"/>
        <w:rPr>
          <w:rFonts w:hAnsi="宋体" w:cs="宋体"/>
          <w:sz w:val="24"/>
          <w:szCs w:val="24"/>
        </w:rPr>
      </w:pPr>
      <w:r>
        <w:rPr>
          <w:rFonts w:hint="eastAsia" w:hAnsi="宋体" w:cs="宋体"/>
          <w:kern w:val="2"/>
          <w:sz w:val="24"/>
          <w:szCs w:val="24"/>
        </w:rPr>
        <w:t>7.3 商务部分。</w:t>
      </w:r>
      <w:r>
        <w:rPr>
          <w:rFonts w:hint="eastAsia" w:hAnsi="宋体" w:cs="宋体"/>
          <w:bCs/>
          <w:sz w:val="24"/>
          <w:szCs w:val="24"/>
        </w:rPr>
        <w:t>投标人</w:t>
      </w:r>
      <w:r>
        <w:rPr>
          <w:rFonts w:hint="eastAsia" w:hAnsi="宋体" w:cs="宋体"/>
          <w:sz w:val="24"/>
          <w:szCs w:val="24"/>
        </w:rPr>
        <w:t>按照招标文件要求提供的有关证明材料及优惠承诺。包括以下内容：</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（1）投标函；</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（2）法定代表人授权书；</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（3）法定代表人和授权代表人身份证复印件；</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（4）证明投标人业绩的有关材料；</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（5）商务应答表。</w:t>
      </w:r>
    </w:p>
    <w:p>
      <w:pPr>
        <w:pStyle w:val="6"/>
        <w:tabs>
          <w:tab w:val="left" w:pos="3480"/>
        </w:tabs>
        <w:snapToGrid w:val="0"/>
        <w:spacing w:before="0" w:after="0" w:line="360" w:lineRule="auto"/>
        <w:ind w:firstLine="120" w:firstLineChars="50"/>
        <w:rPr>
          <w:rFonts w:hAnsi="宋体" w:cs="宋体"/>
          <w:sz w:val="24"/>
          <w:szCs w:val="24"/>
        </w:rPr>
      </w:pPr>
      <w:r>
        <w:rPr>
          <w:rFonts w:hint="eastAsia" w:hAnsi="宋体" w:cs="宋体"/>
          <w:sz w:val="24"/>
          <w:szCs w:val="24"/>
        </w:rPr>
        <w:t>8．投标文件格式</w:t>
      </w:r>
      <w:bookmarkEnd w:id="43"/>
      <w:bookmarkEnd w:id="44"/>
      <w:bookmarkEnd w:id="45"/>
      <w:r>
        <w:rPr>
          <w:rFonts w:hint="eastAsia" w:hAnsi="宋体" w:cs="宋体"/>
          <w:sz w:val="24"/>
          <w:szCs w:val="24"/>
        </w:rPr>
        <w:tab/>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8.1 投标人应严格按照招标文件第三章中提供的“投标文件格式”填写相关内容。除明确允许投标人可以自行编写的外，投标人不得以“投标文件格式”规定之外的方式填写相关内容。</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8.2 对于没有格式要求的投标文件由投标人自行编写。</w:t>
      </w:r>
    </w:p>
    <w:p>
      <w:pPr>
        <w:pStyle w:val="6"/>
        <w:snapToGrid w:val="0"/>
        <w:spacing w:before="0" w:after="0" w:line="360" w:lineRule="auto"/>
        <w:ind w:firstLine="161" w:firstLineChars="67"/>
        <w:rPr>
          <w:rFonts w:hAnsi="宋体" w:cs="宋体"/>
          <w:sz w:val="24"/>
          <w:szCs w:val="24"/>
        </w:rPr>
      </w:pPr>
      <w:bookmarkStart w:id="46" w:name="_Toc217446051"/>
      <w:bookmarkStart w:id="47" w:name="_Toc183682361"/>
      <w:bookmarkStart w:id="48" w:name="_Toc183582224"/>
      <w:r>
        <w:rPr>
          <w:rFonts w:hint="eastAsia" w:hAnsi="宋体" w:cs="宋体"/>
          <w:sz w:val="24"/>
          <w:szCs w:val="24"/>
        </w:rPr>
        <w:t>9．投标有效期</w:t>
      </w:r>
      <w:bookmarkEnd w:id="46"/>
      <w:bookmarkEnd w:id="47"/>
      <w:bookmarkEnd w:id="48"/>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投标有效期为开标后 30天。</w:t>
      </w:r>
    </w:p>
    <w:p>
      <w:pPr>
        <w:pStyle w:val="6"/>
        <w:snapToGrid w:val="0"/>
        <w:spacing w:before="0" w:after="0" w:line="360" w:lineRule="auto"/>
        <w:ind w:firstLine="161" w:firstLineChars="67"/>
        <w:rPr>
          <w:rFonts w:hAnsi="宋体" w:cs="宋体"/>
          <w:sz w:val="24"/>
          <w:szCs w:val="24"/>
        </w:rPr>
      </w:pPr>
      <w:bookmarkStart w:id="49" w:name="_Toc183682363"/>
      <w:bookmarkStart w:id="50" w:name="_Toc89075877"/>
      <w:bookmarkStart w:id="51" w:name="_Toc183582226"/>
      <w:bookmarkStart w:id="52" w:name="_Toc77400781"/>
      <w:bookmarkStart w:id="53" w:name="_Toc217446053"/>
      <w:r>
        <w:rPr>
          <w:rFonts w:hint="eastAsia" w:hAnsi="宋体" w:cs="宋体"/>
          <w:sz w:val="24"/>
          <w:szCs w:val="24"/>
        </w:rPr>
        <w:t>10. 投标文件的密封和标</w:t>
      </w:r>
      <w:bookmarkEnd w:id="49"/>
      <w:bookmarkEnd w:id="50"/>
      <w:bookmarkEnd w:id="51"/>
      <w:bookmarkEnd w:id="52"/>
      <w:r>
        <w:rPr>
          <w:rFonts w:hint="eastAsia" w:hAnsi="宋体" w:cs="宋体"/>
          <w:sz w:val="24"/>
          <w:szCs w:val="24"/>
        </w:rPr>
        <w:t>注</w:t>
      </w:r>
      <w:bookmarkEnd w:id="53"/>
    </w:p>
    <w:p>
      <w:pPr>
        <w:tabs>
          <w:tab w:val="left" w:pos="7665"/>
        </w:tabs>
        <w:snapToGrid w:val="0"/>
        <w:spacing w:line="360" w:lineRule="auto"/>
        <w:ind w:hanging="1"/>
        <w:rPr>
          <w:rFonts w:hAnsi="宋体" w:cs="宋体"/>
          <w:sz w:val="24"/>
          <w:szCs w:val="24"/>
        </w:rPr>
      </w:pPr>
      <w:r>
        <w:rPr>
          <w:rFonts w:hint="eastAsia" w:hAnsi="宋体" w:cs="宋体"/>
          <w:sz w:val="24"/>
          <w:szCs w:val="24"/>
        </w:rPr>
        <w:t>10.1 投标人应在投标文件正本封面上注明投标人名称、招标编号、项目名称。</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10.2 所有外层密封袋的封口处应粘贴牢固，并加盖密封章（投标人印章）。</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 xml:space="preserve">10.3 未按以上要求进行密封和标注的投标文件将被拒绝。 </w:t>
      </w:r>
    </w:p>
    <w:p>
      <w:pPr>
        <w:pStyle w:val="6"/>
        <w:snapToGrid w:val="0"/>
        <w:spacing w:before="0" w:after="0" w:line="360" w:lineRule="auto"/>
        <w:ind w:firstLine="161" w:firstLineChars="67"/>
        <w:rPr>
          <w:rFonts w:hAnsi="宋体" w:cs="宋体"/>
          <w:sz w:val="24"/>
          <w:szCs w:val="24"/>
        </w:rPr>
      </w:pPr>
      <w:bookmarkStart w:id="54" w:name="_Toc183682364"/>
      <w:bookmarkStart w:id="55" w:name="_Toc183582227"/>
      <w:bookmarkStart w:id="56" w:name="_Toc217446054"/>
      <w:r>
        <w:rPr>
          <w:rFonts w:hint="eastAsia" w:hAnsi="宋体" w:cs="宋体"/>
          <w:sz w:val="24"/>
          <w:szCs w:val="24"/>
        </w:rPr>
        <w:t>11．投标文件的</w:t>
      </w:r>
      <w:bookmarkEnd w:id="54"/>
      <w:bookmarkEnd w:id="55"/>
      <w:r>
        <w:rPr>
          <w:rFonts w:hint="eastAsia" w:hAnsi="宋体" w:cs="宋体"/>
          <w:sz w:val="24"/>
          <w:szCs w:val="24"/>
        </w:rPr>
        <w:t>递交</w:t>
      </w:r>
      <w:bookmarkEnd w:id="56"/>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11.1投标人应在招标文件规定的投标截止时间前，将投标文件按规定密封后送达开标地点。投标截止时间以后送达的投标文件将被拒绝。</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11.2 本次招标不接受邮寄的投标文件。</w:t>
      </w:r>
    </w:p>
    <w:p>
      <w:pPr>
        <w:pStyle w:val="6"/>
        <w:snapToGrid w:val="0"/>
        <w:spacing w:before="0" w:after="0" w:line="360" w:lineRule="auto"/>
        <w:ind w:firstLine="161" w:firstLineChars="67"/>
        <w:rPr>
          <w:rFonts w:hAnsi="宋体" w:cs="宋体"/>
          <w:sz w:val="24"/>
          <w:szCs w:val="24"/>
        </w:rPr>
      </w:pPr>
      <w:bookmarkStart w:id="57" w:name="_Toc183582228"/>
      <w:bookmarkStart w:id="58" w:name="_Toc183682365"/>
      <w:bookmarkStart w:id="59" w:name="_Toc217446055"/>
      <w:r>
        <w:rPr>
          <w:rFonts w:hint="eastAsia" w:hAnsi="宋体" w:cs="宋体"/>
          <w:sz w:val="24"/>
          <w:szCs w:val="24"/>
        </w:rPr>
        <w:t>12．投标文件的修改和撤</w:t>
      </w:r>
      <w:bookmarkEnd w:id="57"/>
      <w:bookmarkEnd w:id="58"/>
      <w:r>
        <w:rPr>
          <w:rFonts w:hint="eastAsia" w:hAnsi="宋体" w:cs="宋体"/>
          <w:sz w:val="24"/>
          <w:szCs w:val="24"/>
        </w:rPr>
        <w:t>回</w:t>
      </w:r>
      <w:bookmarkEnd w:id="59"/>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12.1 投标人在递交了投标文件后，可以修改或撤回其投标文件，但必须在规定的投标截止时间前，以书面形式通知采购人。</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12.2 投标人的修改书或撤回通知书，应由其法定代表人或授权代表签署并盖单位印章。修改书应按招标文件规定进行密封和标注，并在密封袋上标注“修改”字样。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12.3 在投标截止时间之后，投标人不得对其递交的投标文件做任何修改或撤回投标。</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12.4 投标文件中如果出现计算上或累加上的算术错误，可按以下原则进行修改：</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（1）用数字表示的金额和用文字表示的金额不一致，应以文字表示的金额为准。</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（2）单价和数量的乘积与总价不一致时，以单价为准，并修正总价。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（3）单价金额小数点有明显错误的，以总价为准，修正单价。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按上述修正错误的方法调整的投标报价应对投标人具有约束力。如果投标人不接受修正后的价格，其投标将被拒绝。</w:t>
      </w:r>
      <w:bookmarkStart w:id="60" w:name="_Toc217446056"/>
      <w:bookmarkStart w:id="61" w:name="_Toc77400782"/>
      <w:bookmarkStart w:id="62" w:name="_Toc183582231"/>
      <w:bookmarkStart w:id="63" w:name="_Toc183682368"/>
      <w:bookmarkStart w:id="64" w:name="_Toc89075878"/>
    </w:p>
    <w:p>
      <w:pPr>
        <w:tabs>
          <w:tab w:val="left" w:pos="7665"/>
        </w:tabs>
        <w:snapToGrid w:val="0"/>
        <w:spacing w:line="360" w:lineRule="auto"/>
        <w:jc w:val="center"/>
        <w:rPr>
          <w:rFonts w:hAnsi="宋体" w:cs="宋体"/>
          <w:b/>
          <w:bCs/>
          <w:sz w:val="30"/>
          <w:szCs w:val="30"/>
        </w:rPr>
      </w:pPr>
      <w:r>
        <w:rPr>
          <w:rFonts w:hint="eastAsia" w:hAnsi="宋体" w:cs="宋体"/>
          <w:b/>
          <w:bCs/>
          <w:sz w:val="30"/>
          <w:szCs w:val="30"/>
        </w:rPr>
        <w:t>四、开标、评标和中标</w:t>
      </w:r>
      <w:bookmarkEnd w:id="60"/>
      <w:bookmarkEnd w:id="61"/>
      <w:bookmarkEnd w:id="62"/>
      <w:bookmarkEnd w:id="63"/>
      <w:bookmarkEnd w:id="64"/>
      <w:bookmarkStart w:id="65" w:name="_Toc217446057"/>
      <w:bookmarkStart w:id="66" w:name="_Toc183682369"/>
      <w:bookmarkStart w:id="67" w:name="_Toc183582232"/>
    </w:p>
    <w:p>
      <w:pPr>
        <w:tabs>
          <w:tab w:val="left" w:pos="1095"/>
        </w:tabs>
        <w:snapToGrid w:val="0"/>
        <w:spacing w:line="360" w:lineRule="auto"/>
        <w:rPr>
          <w:rFonts w:hAnsi="宋体" w:cs="宋体"/>
          <w:b/>
          <w:sz w:val="24"/>
          <w:szCs w:val="24"/>
        </w:rPr>
      </w:pPr>
      <w:r>
        <w:rPr>
          <w:rFonts w:hint="eastAsia" w:hAnsi="宋体" w:cs="宋体"/>
          <w:b/>
          <w:sz w:val="24"/>
          <w:szCs w:val="24"/>
        </w:rPr>
        <w:t>13．开标</w:t>
      </w:r>
      <w:bookmarkEnd w:id="65"/>
      <w:bookmarkEnd w:id="66"/>
      <w:bookmarkEnd w:id="67"/>
    </w:p>
    <w:p>
      <w:pPr>
        <w:snapToGrid w:val="0"/>
        <w:spacing w:line="360" w:lineRule="auto"/>
        <w:ind w:firstLine="480" w:firstLineChars="200"/>
        <w:rPr>
          <w:rFonts w:hAnsi="宋体" w:cs="宋体"/>
          <w:b/>
          <w:bCs/>
          <w:sz w:val="24"/>
          <w:szCs w:val="24"/>
        </w:rPr>
      </w:pPr>
      <w:r>
        <w:rPr>
          <w:rFonts w:hint="eastAsia" w:hAnsi="宋体" w:cs="宋体"/>
          <w:sz w:val="24"/>
          <w:szCs w:val="24"/>
        </w:rPr>
        <w:t>13.1 采购人在招标文件规定的时间和地点组织公开开标，投标人须派代表参加并签到以证明其出席。</w:t>
      </w:r>
    </w:p>
    <w:p>
      <w:pPr>
        <w:snapToGrid w:val="0"/>
        <w:spacing w:line="360" w:lineRule="auto"/>
        <w:ind w:firstLine="480" w:firstLineChars="200"/>
        <w:rPr>
          <w:rFonts w:hAnsi="宋体" w:cs="宋体"/>
          <w:sz w:val="24"/>
          <w:szCs w:val="24"/>
        </w:rPr>
      </w:pPr>
      <w:r>
        <w:rPr>
          <w:rFonts w:hint="eastAsia" w:hAnsi="宋体" w:cs="宋体"/>
          <w:sz w:val="24"/>
          <w:szCs w:val="24"/>
        </w:rPr>
        <w:t>13.2 开标时，采购人邀请学校纪检监察室派人对开标及评标全过程进行现场监督。</w:t>
      </w:r>
    </w:p>
    <w:p>
      <w:pPr>
        <w:snapToGrid w:val="0"/>
        <w:spacing w:line="360" w:lineRule="auto"/>
        <w:ind w:firstLine="480" w:firstLineChars="200"/>
        <w:rPr>
          <w:rFonts w:hAnsi="宋体" w:cs="宋体"/>
          <w:sz w:val="24"/>
          <w:szCs w:val="24"/>
        </w:rPr>
      </w:pPr>
      <w:r>
        <w:rPr>
          <w:rFonts w:hint="eastAsia" w:hAnsi="宋体" w:cs="宋体"/>
          <w:sz w:val="24"/>
          <w:szCs w:val="24"/>
        </w:rPr>
        <w:t>13.3投标文件中有关明细表内容与“投标报价表”不一致的，以“投标报价表”为准。</w:t>
      </w:r>
    </w:p>
    <w:p>
      <w:pPr>
        <w:pStyle w:val="6"/>
        <w:snapToGrid w:val="0"/>
        <w:spacing w:before="0" w:after="0" w:line="360" w:lineRule="auto"/>
        <w:ind w:firstLine="161" w:firstLineChars="67"/>
        <w:rPr>
          <w:rFonts w:hAnsi="宋体" w:cs="宋体"/>
          <w:sz w:val="24"/>
          <w:szCs w:val="24"/>
        </w:rPr>
      </w:pPr>
      <w:r>
        <w:rPr>
          <w:rFonts w:hint="eastAsia" w:hAnsi="宋体" w:cs="宋体"/>
          <w:sz w:val="24"/>
          <w:szCs w:val="24"/>
        </w:rPr>
        <w:t>14．评标</w:t>
      </w:r>
    </w:p>
    <w:p>
      <w:pPr>
        <w:snapToGrid w:val="0"/>
        <w:spacing w:line="360" w:lineRule="auto"/>
        <w:ind w:firstLine="600" w:firstLineChars="250"/>
        <w:rPr>
          <w:rFonts w:hAnsi="宋体" w:cs="宋体"/>
          <w:sz w:val="24"/>
          <w:szCs w:val="24"/>
        </w:rPr>
      </w:pPr>
      <w:r>
        <w:rPr>
          <w:rFonts w:hint="eastAsia" w:hAnsi="宋体" w:cs="宋体"/>
          <w:bCs/>
          <w:sz w:val="24"/>
          <w:szCs w:val="24"/>
        </w:rPr>
        <w:t>评标采用综合评标法（参见第五章）</w:t>
      </w:r>
    </w:p>
    <w:p>
      <w:pPr>
        <w:pStyle w:val="6"/>
        <w:snapToGrid w:val="0"/>
        <w:spacing w:before="0" w:after="0" w:line="360" w:lineRule="auto"/>
        <w:ind w:firstLine="161" w:firstLineChars="67"/>
        <w:rPr>
          <w:rFonts w:hAnsi="宋体" w:cs="宋体"/>
          <w:sz w:val="24"/>
          <w:szCs w:val="24"/>
        </w:rPr>
      </w:pPr>
      <w:bookmarkStart w:id="68" w:name="_Toc183682375"/>
      <w:bookmarkStart w:id="69" w:name="_Toc183582238"/>
      <w:bookmarkStart w:id="70" w:name="_Toc217446063"/>
      <w:r>
        <w:rPr>
          <w:rFonts w:hint="eastAsia" w:hAnsi="宋体" w:cs="宋体"/>
          <w:sz w:val="24"/>
          <w:szCs w:val="24"/>
        </w:rPr>
        <w:t>15．中标通知</w:t>
      </w:r>
      <w:bookmarkEnd w:id="68"/>
      <w:bookmarkEnd w:id="69"/>
      <w:r>
        <w:rPr>
          <w:rFonts w:hint="eastAsia" w:hAnsi="宋体" w:cs="宋体"/>
          <w:sz w:val="24"/>
          <w:szCs w:val="24"/>
        </w:rPr>
        <w:t>书</w:t>
      </w:r>
      <w:bookmarkEnd w:id="70"/>
    </w:p>
    <w:p>
      <w:pPr>
        <w:tabs>
          <w:tab w:val="left" w:pos="7665"/>
        </w:tabs>
        <w:snapToGrid w:val="0"/>
        <w:spacing w:line="360" w:lineRule="auto"/>
        <w:rPr>
          <w:rFonts w:hAnsi="宋体" w:cs="宋体"/>
          <w:sz w:val="24"/>
          <w:szCs w:val="24"/>
        </w:rPr>
      </w:pPr>
      <w:r>
        <w:rPr>
          <w:rFonts w:hint="eastAsia" w:hAnsi="宋体" w:cs="宋体"/>
          <w:sz w:val="24"/>
          <w:szCs w:val="24"/>
        </w:rPr>
        <w:t xml:space="preserve">    15</w:t>
      </w:r>
      <w:r>
        <w:rPr>
          <w:rFonts w:hint="eastAsia" w:hAnsi="宋体" w:cs="宋体"/>
          <w:b/>
          <w:bCs/>
          <w:sz w:val="24"/>
          <w:szCs w:val="24"/>
        </w:rPr>
        <w:t>.</w:t>
      </w:r>
      <w:r>
        <w:rPr>
          <w:rFonts w:hint="eastAsia" w:hAnsi="宋体" w:cs="宋体"/>
          <w:sz w:val="24"/>
          <w:szCs w:val="24"/>
        </w:rPr>
        <w:t>1 中标通知书为签订采购合同的依据，是合同的有效组成部分。</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15.2 中标通知书对采购人和中标人均具有法律效力。中标通知书发出后，采购人改变中标结果，或者中标人无正当理由放弃中标的，应当承担相应的法律责任。</w:t>
      </w:r>
      <w:bookmarkStart w:id="71" w:name="_Toc217446064"/>
      <w:bookmarkStart w:id="72" w:name="_Toc183682377"/>
      <w:bookmarkStart w:id="73" w:name="_Toc183582240"/>
    </w:p>
    <w:p>
      <w:pPr>
        <w:tabs>
          <w:tab w:val="left" w:pos="7665"/>
        </w:tabs>
        <w:snapToGrid w:val="0"/>
        <w:spacing w:line="360" w:lineRule="auto"/>
        <w:jc w:val="center"/>
        <w:rPr>
          <w:rFonts w:hAnsi="宋体" w:cs="宋体"/>
          <w:b/>
          <w:bCs/>
          <w:sz w:val="30"/>
          <w:szCs w:val="30"/>
        </w:rPr>
      </w:pPr>
      <w:r>
        <w:rPr>
          <w:rFonts w:hint="eastAsia" w:hAnsi="宋体" w:cs="宋体"/>
          <w:b/>
          <w:bCs/>
          <w:sz w:val="30"/>
          <w:szCs w:val="30"/>
        </w:rPr>
        <w:t>五、签订及履行合同和验收</w:t>
      </w:r>
      <w:bookmarkEnd w:id="71"/>
    </w:p>
    <w:p>
      <w:pPr>
        <w:pStyle w:val="5"/>
        <w:snapToGrid w:val="0"/>
        <w:spacing w:before="0" w:after="0" w:line="360" w:lineRule="auto"/>
        <w:ind w:firstLine="161" w:firstLineChars="67"/>
        <w:rPr>
          <w:rFonts w:ascii="宋体" w:hAnsi="宋体" w:eastAsia="宋体" w:cs="宋体"/>
          <w:sz w:val="24"/>
          <w:szCs w:val="24"/>
        </w:rPr>
      </w:pPr>
      <w:bookmarkStart w:id="74" w:name="_Toc217446065"/>
      <w:r>
        <w:rPr>
          <w:rFonts w:hint="eastAsia" w:ascii="宋体" w:hAnsi="宋体" w:eastAsia="宋体" w:cs="宋体"/>
          <w:sz w:val="24"/>
          <w:szCs w:val="24"/>
        </w:rPr>
        <w:t>16. 签订合同</w:t>
      </w:r>
      <w:bookmarkEnd w:id="74"/>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16.1中标人在收到招标人发出的《中标通知书》后，应在5个工作日内与采购人签订采购合同。由于中标人的原因逾期未与采购人签订采购合同的，将视为放弃中标，采购人有权取消其中标资格并将按相关规定进行处理。</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16.2 采购人不得向中标人提出任何不合理的要求，作为签订合同的条件，不得与中标人私下订立背离合同实质性内容的任何协议，所签订的合同不得对招标文件和中标人投标文件作实质性修改。</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16.3 中标人因不可抗力原因不能履行采购合同或放弃中标的，采购人可以与排在中标人之后第一位的中标候选人签订采购合同，以此类推。</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16.4 中标人在合同签订之后5个工作日内，将签订的合同原件（三份）送采购人。</w:t>
      </w:r>
    </w:p>
    <w:p>
      <w:pPr>
        <w:pStyle w:val="5"/>
        <w:snapToGrid w:val="0"/>
        <w:spacing w:before="0" w:after="0" w:line="360" w:lineRule="auto"/>
        <w:ind w:firstLine="161" w:firstLineChars="67"/>
        <w:rPr>
          <w:rFonts w:ascii="宋体" w:hAnsi="宋体" w:eastAsia="宋体" w:cs="宋体"/>
          <w:sz w:val="24"/>
          <w:szCs w:val="24"/>
        </w:rPr>
      </w:pPr>
      <w:bookmarkStart w:id="75" w:name="_Toc217446069"/>
      <w:r>
        <w:rPr>
          <w:rFonts w:hint="eastAsia" w:ascii="宋体" w:hAnsi="宋体" w:eastAsia="宋体" w:cs="宋体"/>
          <w:sz w:val="24"/>
          <w:szCs w:val="24"/>
        </w:rPr>
        <w:t>17. 履行合同</w:t>
      </w:r>
      <w:bookmarkEnd w:id="75"/>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17.1 中标人与采购人签订合同后，合同双方应严格执行合同条款，履行合同规定的义务，保证合同的顺利完成。</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17.2 在合同履行过程中，如发生合同纠纷，合同双方应按照《合同法》争议解决条款的有关规定进行处理。</w:t>
      </w:r>
    </w:p>
    <w:p>
      <w:pPr>
        <w:pStyle w:val="5"/>
        <w:snapToGrid w:val="0"/>
        <w:spacing w:before="0" w:after="0" w:line="360" w:lineRule="auto"/>
        <w:ind w:firstLine="161" w:firstLineChars="67"/>
        <w:rPr>
          <w:rFonts w:ascii="宋体" w:hAnsi="宋体" w:eastAsia="宋体" w:cs="宋体"/>
          <w:sz w:val="24"/>
          <w:szCs w:val="24"/>
        </w:rPr>
      </w:pPr>
      <w:bookmarkStart w:id="76" w:name="_Toc217446070"/>
      <w:r>
        <w:rPr>
          <w:rFonts w:hint="eastAsia" w:ascii="宋体" w:hAnsi="宋体" w:eastAsia="宋体" w:cs="宋体"/>
          <w:sz w:val="24"/>
          <w:szCs w:val="24"/>
        </w:rPr>
        <w:t>18. 验收</w:t>
      </w:r>
      <w:bookmarkEnd w:id="76"/>
    </w:p>
    <w:bookmarkEnd w:id="72"/>
    <w:bookmarkEnd w:id="73"/>
    <w:p>
      <w:pPr>
        <w:tabs>
          <w:tab w:val="left" w:pos="7665"/>
        </w:tabs>
        <w:snapToGrid w:val="0"/>
        <w:spacing w:line="360" w:lineRule="auto"/>
        <w:ind w:firstLine="480" w:firstLineChars="200"/>
        <w:rPr>
          <w:rFonts w:hAnsi="宋体" w:cs="宋体"/>
          <w:sz w:val="24"/>
          <w:szCs w:val="24"/>
        </w:rPr>
      </w:pPr>
      <w:bookmarkStart w:id="77" w:name="_Toc217446071"/>
      <w:bookmarkStart w:id="78" w:name="_Toc217446074"/>
      <w:bookmarkStart w:id="79" w:name="_Toc183582243"/>
      <w:bookmarkStart w:id="80" w:name="_Toc183682380"/>
      <w:r>
        <w:rPr>
          <w:rFonts w:hint="eastAsia" w:hAnsi="宋体" w:cs="宋体"/>
          <w:sz w:val="24"/>
          <w:szCs w:val="24"/>
        </w:rPr>
        <w:t xml:space="preserve"> 中标人与采购人按照招标项目技术、商务及其他要求（参见第四章）进行验收，采购人也可依据合同自行组织验收。</w:t>
      </w:r>
    </w:p>
    <w:bookmarkEnd w:id="77"/>
    <w:p>
      <w:pPr>
        <w:pStyle w:val="5"/>
        <w:snapToGrid w:val="0"/>
        <w:spacing w:before="0" w:after="0" w:line="360" w:lineRule="auto"/>
        <w:jc w:val="center"/>
        <w:rPr>
          <w:rFonts w:ascii="宋体" w:hAnsi="宋体" w:eastAsia="宋体" w:cs="宋体"/>
          <w:sz w:val="30"/>
          <w:szCs w:val="30"/>
        </w:rPr>
      </w:pPr>
      <w:r>
        <w:rPr>
          <w:rFonts w:hint="eastAsia" w:ascii="宋体" w:hAnsi="宋体" w:eastAsia="宋体" w:cs="宋体"/>
          <w:sz w:val="30"/>
          <w:szCs w:val="30"/>
        </w:rPr>
        <w:t>六、投标纪律要求</w:t>
      </w:r>
      <w:bookmarkEnd w:id="78"/>
    </w:p>
    <w:p>
      <w:pPr>
        <w:pStyle w:val="5"/>
        <w:snapToGrid w:val="0"/>
        <w:spacing w:before="0" w:after="0" w:line="360" w:lineRule="auto"/>
        <w:ind w:firstLine="161" w:firstLineChars="67"/>
        <w:rPr>
          <w:rFonts w:ascii="宋体" w:hAnsi="宋体" w:eastAsia="宋体" w:cs="宋体"/>
          <w:sz w:val="24"/>
          <w:szCs w:val="24"/>
        </w:rPr>
      </w:pPr>
      <w:bookmarkStart w:id="81" w:name="_Toc217446075"/>
      <w:r>
        <w:rPr>
          <w:rFonts w:hint="eastAsia" w:ascii="宋体" w:hAnsi="宋体" w:eastAsia="宋体" w:cs="宋体"/>
          <w:sz w:val="24"/>
          <w:szCs w:val="24"/>
        </w:rPr>
        <w:t>19. 投标人不得具有的情形</w:t>
      </w:r>
      <w:bookmarkEnd w:id="81"/>
    </w:p>
    <w:p>
      <w:pPr>
        <w:pStyle w:val="7"/>
        <w:snapToGrid w:val="0"/>
        <w:spacing w:line="360" w:lineRule="auto"/>
        <w:ind w:firstLine="160" w:firstLineChars="67"/>
        <w:rPr>
          <w:rFonts w:hAnsi="宋体" w:cs="宋体"/>
          <w:sz w:val="24"/>
        </w:rPr>
      </w:pPr>
      <w:r>
        <w:rPr>
          <w:rFonts w:hint="eastAsia" w:hAnsi="宋体" w:cs="宋体"/>
          <w:sz w:val="24"/>
        </w:rPr>
        <w:t>投标人参加投标不得有下列情形：</w:t>
      </w:r>
    </w:p>
    <w:p>
      <w:pPr>
        <w:pStyle w:val="7"/>
        <w:snapToGrid w:val="0"/>
        <w:spacing w:line="360" w:lineRule="auto"/>
        <w:ind w:firstLine="160" w:firstLineChars="67"/>
        <w:rPr>
          <w:rFonts w:hAnsi="宋体" w:cs="宋体"/>
          <w:sz w:val="24"/>
        </w:rPr>
      </w:pPr>
      <w:r>
        <w:rPr>
          <w:rFonts w:hint="eastAsia" w:hAnsi="宋体" w:cs="宋体"/>
          <w:sz w:val="24"/>
        </w:rPr>
        <w:t>（1）提供虚假材料谋取中标；</w:t>
      </w:r>
    </w:p>
    <w:p>
      <w:pPr>
        <w:pStyle w:val="7"/>
        <w:snapToGrid w:val="0"/>
        <w:spacing w:line="360" w:lineRule="auto"/>
        <w:ind w:firstLine="160" w:firstLineChars="67"/>
        <w:rPr>
          <w:rFonts w:hAnsi="宋体" w:cs="宋体"/>
          <w:sz w:val="24"/>
        </w:rPr>
      </w:pPr>
      <w:r>
        <w:rPr>
          <w:rFonts w:hint="eastAsia" w:hAnsi="宋体" w:cs="宋体"/>
          <w:sz w:val="24"/>
        </w:rPr>
        <w:t>（2）采取不正当手段诋毁、排挤其他投标人；</w:t>
      </w:r>
    </w:p>
    <w:p>
      <w:pPr>
        <w:pStyle w:val="7"/>
        <w:snapToGrid w:val="0"/>
        <w:spacing w:line="360" w:lineRule="auto"/>
        <w:ind w:firstLine="160" w:firstLineChars="67"/>
        <w:rPr>
          <w:rFonts w:hAnsi="宋体" w:cs="宋体"/>
          <w:sz w:val="24"/>
        </w:rPr>
      </w:pPr>
      <w:r>
        <w:rPr>
          <w:rFonts w:hint="eastAsia" w:hAnsi="宋体" w:cs="宋体"/>
          <w:sz w:val="24"/>
        </w:rPr>
        <w:t>（3）与招标采购单位、其他投标人恶意串通；</w:t>
      </w:r>
    </w:p>
    <w:p>
      <w:pPr>
        <w:pStyle w:val="7"/>
        <w:snapToGrid w:val="0"/>
        <w:spacing w:line="360" w:lineRule="auto"/>
        <w:ind w:firstLine="160" w:firstLineChars="67"/>
        <w:rPr>
          <w:rFonts w:hAnsi="宋体" w:cs="宋体"/>
          <w:sz w:val="24"/>
        </w:rPr>
      </w:pPr>
      <w:r>
        <w:rPr>
          <w:rFonts w:hint="eastAsia" w:hAnsi="宋体" w:cs="宋体"/>
          <w:sz w:val="24"/>
        </w:rPr>
        <w:t>（4）向招标采购单位、采购小组成员行贿或者提供其他不正当利益；</w:t>
      </w:r>
    </w:p>
    <w:p>
      <w:pPr>
        <w:pStyle w:val="7"/>
        <w:snapToGrid w:val="0"/>
        <w:spacing w:line="360" w:lineRule="auto"/>
        <w:ind w:firstLine="160" w:firstLineChars="67"/>
        <w:rPr>
          <w:rFonts w:hAnsi="宋体" w:cs="宋体"/>
          <w:sz w:val="24"/>
        </w:rPr>
      </w:pPr>
      <w:r>
        <w:rPr>
          <w:rFonts w:hint="eastAsia" w:hAnsi="宋体" w:cs="宋体"/>
          <w:sz w:val="24"/>
        </w:rPr>
        <w:t>（5）在招标过程中与招标采购单位进行协商谈判；</w:t>
      </w:r>
    </w:p>
    <w:p>
      <w:pPr>
        <w:pStyle w:val="7"/>
        <w:snapToGrid w:val="0"/>
        <w:spacing w:line="360" w:lineRule="auto"/>
        <w:ind w:firstLine="160" w:firstLineChars="67"/>
        <w:rPr>
          <w:rFonts w:hAnsi="宋体" w:cs="宋体"/>
          <w:sz w:val="24"/>
        </w:rPr>
      </w:pPr>
      <w:r>
        <w:rPr>
          <w:rFonts w:hint="eastAsia" w:hAnsi="宋体" w:cs="宋体"/>
          <w:sz w:val="24"/>
        </w:rPr>
        <w:t>（6）拒绝有关部门的监督检查或者向监督检查部门提供虚假情况。</w:t>
      </w:r>
    </w:p>
    <w:p>
      <w:pPr>
        <w:pStyle w:val="7"/>
        <w:snapToGrid w:val="0"/>
        <w:spacing w:line="360" w:lineRule="auto"/>
        <w:ind w:firstLine="160" w:firstLineChars="67"/>
        <w:rPr>
          <w:rFonts w:hAnsi="宋体" w:cs="宋体"/>
          <w:sz w:val="24"/>
        </w:rPr>
      </w:pPr>
      <w:r>
        <w:rPr>
          <w:rFonts w:hint="eastAsia" w:hAnsi="宋体" w:cs="宋体"/>
          <w:sz w:val="24"/>
        </w:rPr>
        <w:t>有上述情形之一的投标人，属于不合格投标人，其投标或中标资格将被取消。</w:t>
      </w:r>
    </w:p>
    <w:p>
      <w:pPr>
        <w:pStyle w:val="12"/>
        <w:snapToGrid w:val="0"/>
        <w:spacing w:line="360" w:lineRule="auto"/>
        <w:ind w:left="630" w:firstLine="3162" w:firstLineChars="1050"/>
        <w:rPr>
          <w:rFonts w:hAnsi="宋体" w:cs="宋体"/>
          <w:b/>
          <w:bCs/>
          <w:sz w:val="30"/>
          <w:szCs w:val="30"/>
        </w:rPr>
      </w:pPr>
      <w:bookmarkStart w:id="82" w:name="_Toc217446078"/>
      <w:r>
        <w:rPr>
          <w:rFonts w:hint="eastAsia" w:hAnsi="宋体" w:cs="宋体"/>
          <w:b/>
          <w:bCs/>
          <w:sz w:val="30"/>
          <w:szCs w:val="30"/>
        </w:rPr>
        <w:t>七、质疑</w:t>
      </w:r>
      <w:bookmarkEnd w:id="82"/>
      <w:bookmarkStart w:id="83" w:name="_Toc217446079"/>
    </w:p>
    <w:bookmarkEnd w:id="83"/>
    <w:p>
      <w:pPr>
        <w:pStyle w:val="5"/>
        <w:snapToGrid w:val="0"/>
        <w:spacing w:before="0" w:after="0" w:line="360" w:lineRule="auto"/>
        <w:ind w:left="1375" w:leftChars="50" w:hanging="1205" w:hangingChars="500"/>
        <w:rPr>
          <w:rFonts w:ascii="宋体" w:hAnsi="宋体" w:eastAsia="宋体" w:cs="宋体"/>
          <w:sz w:val="24"/>
          <w:szCs w:val="24"/>
        </w:rPr>
      </w:pPr>
      <w:r>
        <w:rPr>
          <w:rFonts w:hint="eastAsia" w:ascii="宋体" w:hAnsi="宋体" w:eastAsia="宋体" w:cs="宋体"/>
          <w:sz w:val="24"/>
          <w:szCs w:val="24"/>
        </w:rPr>
        <w:t>20.质疑。</w:t>
      </w:r>
      <w:bookmarkEnd w:id="79"/>
      <w:bookmarkEnd w:id="80"/>
    </w:p>
    <w:p>
      <w:pPr>
        <w:pStyle w:val="7"/>
        <w:snapToGrid w:val="0"/>
        <w:spacing w:line="360" w:lineRule="auto"/>
        <w:ind w:firstLine="160" w:firstLineChars="67"/>
        <w:rPr>
          <w:rFonts w:hAnsi="宋体" w:cs="宋体"/>
          <w:sz w:val="24"/>
        </w:rPr>
      </w:pPr>
      <w:r>
        <w:rPr>
          <w:rFonts w:hint="eastAsia" w:hAnsi="宋体" w:cs="宋体"/>
          <w:sz w:val="24"/>
        </w:rPr>
        <w:t>在招标投标过程中，如有任何质疑，可向四川铁道职业学院纪检监察室询问，联系电话：028-68939874。</w:t>
      </w:r>
      <w:bookmarkStart w:id="84" w:name="_Toc358883243"/>
    </w:p>
    <w:p>
      <w:pPr>
        <w:pStyle w:val="12"/>
        <w:snapToGrid w:val="0"/>
        <w:spacing w:line="360" w:lineRule="auto"/>
        <w:ind w:firstLine="480" w:firstLineChars="200"/>
        <w:rPr>
          <w:rFonts w:hAnsi="宋体" w:cs="宋体"/>
          <w:sz w:val="24"/>
        </w:rPr>
      </w:pPr>
    </w:p>
    <w:p>
      <w:pPr>
        <w:pStyle w:val="12"/>
        <w:snapToGrid w:val="0"/>
        <w:spacing w:line="360" w:lineRule="auto"/>
        <w:ind w:firstLine="480" w:firstLineChars="200"/>
        <w:rPr>
          <w:rFonts w:hAnsi="宋体" w:cs="宋体"/>
          <w:sz w:val="24"/>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rPr>
          <w:rFonts w:ascii="Times New Roman"/>
        </w:rPr>
      </w:pPr>
    </w:p>
    <w:p>
      <w:pPr>
        <w:pStyle w:val="4"/>
        <w:snapToGrid w:val="0"/>
        <w:spacing w:before="0" w:after="0" w:line="360" w:lineRule="auto"/>
        <w:jc w:val="center"/>
        <w:rPr>
          <w:rFonts w:hAnsi="宋体" w:cs="宋体"/>
          <w:sz w:val="30"/>
          <w:szCs w:val="30"/>
        </w:rPr>
      </w:pPr>
      <w:r>
        <w:rPr>
          <w:rFonts w:hint="eastAsia" w:hAnsi="宋体" w:cs="宋体"/>
          <w:sz w:val="30"/>
          <w:szCs w:val="30"/>
        </w:rPr>
        <w:t>第三章 投标文件格式</w:t>
      </w:r>
      <w:bookmarkEnd w:id="84"/>
    </w:p>
    <w:p>
      <w:pPr>
        <w:pStyle w:val="5"/>
        <w:snapToGrid w:val="0"/>
        <w:spacing w:before="0" w:after="0" w:line="360" w:lineRule="auto"/>
        <w:jc w:val="center"/>
        <w:rPr>
          <w:rFonts w:ascii="宋体" w:hAnsi="宋体" w:eastAsia="宋体" w:cs="宋体"/>
        </w:rPr>
      </w:pPr>
      <w:bookmarkStart w:id="85" w:name="_Toc217446082"/>
      <w:r>
        <w:rPr>
          <w:rFonts w:hint="eastAsia" w:ascii="宋体" w:hAnsi="宋体" w:eastAsia="宋体" w:cs="宋体"/>
        </w:rPr>
        <w:t>一、投 标 函</w:t>
      </w:r>
      <w:bookmarkEnd w:id="85"/>
    </w:p>
    <w:p>
      <w:pPr>
        <w:pStyle w:val="12"/>
        <w:snapToGrid w:val="0"/>
        <w:spacing w:line="348" w:lineRule="auto"/>
        <w:ind w:hanging="1"/>
        <w:jc w:val="left"/>
        <w:rPr>
          <w:rFonts w:hAnsi="宋体" w:cs="宋体"/>
          <w:bCs/>
          <w:sz w:val="24"/>
          <w:szCs w:val="24"/>
        </w:rPr>
      </w:pPr>
      <w:bookmarkStart w:id="86" w:name="_Toc217446083"/>
      <w:r>
        <w:rPr>
          <w:rFonts w:hint="eastAsia" w:hAnsi="宋体" w:cs="宋体"/>
          <w:bCs/>
          <w:sz w:val="24"/>
          <w:szCs w:val="24"/>
        </w:rPr>
        <w:t>__________________（采购人名称）：</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我方全面研究了 “”项目招标文件（招标编号），决定参加贵单位组织的本项目投标。我方授权（姓名、职务）代表我方（投标单位的名称）全权处理本项目投标的有关事宜。</w:t>
      </w:r>
    </w:p>
    <w:p>
      <w:pPr>
        <w:pStyle w:val="12"/>
        <w:numPr>
          <w:ilvl w:val="0"/>
          <w:numId w:val="5"/>
        </w:numPr>
        <w:snapToGrid w:val="0"/>
        <w:spacing w:line="348" w:lineRule="auto"/>
        <w:ind w:firstLine="484" w:firstLineChars="202"/>
        <w:rPr>
          <w:rFonts w:hAnsi="宋体" w:cs="宋体"/>
          <w:bCs/>
          <w:sz w:val="24"/>
          <w:szCs w:val="24"/>
          <w:u w:val="single"/>
        </w:rPr>
      </w:pPr>
      <w:r>
        <w:rPr>
          <w:rFonts w:hint="eastAsia" w:hAnsi="宋体" w:cs="宋体"/>
          <w:bCs/>
          <w:sz w:val="24"/>
          <w:szCs w:val="24"/>
        </w:rPr>
        <w:t>我方自愿按照招标文件规定的各项要求向采购人提供所需服务，总投标价为</w:t>
      </w:r>
    </w:p>
    <w:p>
      <w:pPr>
        <w:pStyle w:val="12"/>
        <w:snapToGrid w:val="0"/>
        <w:spacing w:line="348" w:lineRule="auto"/>
        <w:ind w:firstLine="0"/>
        <w:jc w:val="left"/>
        <w:rPr>
          <w:rFonts w:hAnsi="宋体" w:cs="宋体"/>
          <w:bCs/>
          <w:sz w:val="24"/>
          <w:szCs w:val="24"/>
        </w:rPr>
      </w:pPr>
      <w:r>
        <w:rPr>
          <w:rFonts w:hint="eastAsia" w:hAnsi="宋体" w:cs="宋体"/>
          <w:bCs/>
          <w:sz w:val="24"/>
          <w:szCs w:val="24"/>
        </w:rPr>
        <w:t>人民币元（大写：）。</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2、一旦我方中标，我方将严格履行合同规定的责任和义务，保证于合同签字生效  工作日内完成应尽义务，并交付采购人验收、使用。</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3、我方为本项目提交的投标文件正本壹份。</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4、我方愿意提供贵公司可能另外要求的，与投标有关的文件资料，并保证我方已提供和将要提供的文件资料是真实、准确的。</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5、我方同意本次招标的投标有效期为 。</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6、我方完全理解采购人不一定将合同授予最低报价的投标人的行为。</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投标人名称：        （盖章）</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法定代表人或授权代表（签字）：</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通讯地址：</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邮政编码：</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联系电话：</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传    真：</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日    期：</w:t>
      </w: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rPr>
          <w:rFonts w:ascii="Times New Roman"/>
        </w:rPr>
      </w:pPr>
    </w:p>
    <w:p>
      <w:pPr>
        <w:rPr>
          <w:rFonts w:ascii="Times New Roman"/>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二、法定代表人授权书</w:t>
      </w:r>
      <w:bookmarkEnd w:id="86"/>
    </w:p>
    <w:p>
      <w:pPr>
        <w:snapToGrid w:val="0"/>
        <w:spacing w:line="360" w:lineRule="auto"/>
        <w:jc w:val="left"/>
        <w:rPr>
          <w:rFonts w:hAnsi="宋体" w:cs="宋体"/>
          <w:b/>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sz w:val="24"/>
          <w:szCs w:val="24"/>
        </w:rPr>
      </w:pPr>
      <w:r>
        <w:rPr>
          <w:rFonts w:hint="eastAsia" w:hAnsi="宋体" w:cs="宋体"/>
          <w:sz w:val="24"/>
          <w:szCs w:val="24"/>
        </w:rPr>
        <w:t>__________________（采购人名称）：</w:t>
      </w:r>
    </w:p>
    <w:p>
      <w:pPr>
        <w:snapToGrid w:val="0"/>
        <w:spacing w:line="360" w:lineRule="auto"/>
        <w:ind w:firstLine="480" w:firstLineChars="200"/>
        <w:jc w:val="left"/>
        <w:rPr>
          <w:rFonts w:hAnsi="宋体" w:cs="宋体"/>
          <w:sz w:val="24"/>
          <w:szCs w:val="24"/>
        </w:rPr>
      </w:pPr>
      <w:r>
        <w:rPr>
          <w:rFonts w:hint="eastAsia" w:hAnsi="宋体" w:cs="宋体"/>
          <w:sz w:val="24"/>
          <w:szCs w:val="24"/>
        </w:rPr>
        <w:t>本授权声明：（投标人名称）（法定代表人姓名、职务）授权（被授权人姓名、职务）为我方 “ ” 项目（招标编号）投标活动的合法代表，以我方名义全权处理该项目有关投标、签订合同以及执行合同等一切事宜。</w:t>
      </w:r>
    </w:p>
    <w:p>
      <w:pPr>
        <w:snapToGrid w:val="0"/>
        <w:spacing w:line="360" w:lineRule="auto"/>
        <w:ind w:firstLine="480" w:firstLineChars="200"/>
        <w:jc w:val="left"/>
        <w:rPr>
          <w:rFonts w:hAnsi="宋体" w:cs="宋体"/>
          <w:sz w:val="24"/>
          <w:szCs w:val="24"/>
        </w:rPr>
      </w:pPr>
      <w:r>
        <w:rPr>
          <w:rFonts w:hint="eastAsia" w:hAnsi="宋体" w:cs="宋体"/>
          <w:sz w:val="24"/>
          <w:szCs w:val="24"/>
        </w:rPr>
        <w:t>特此声明。</w:t>
      </w: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jc w:val="left"/>
        <w:rPr>
          <w:rFonts w:hAnsi="宋体" w:cs="宋体"/>
          <w:sz w:val="24"/>
          <w:szCs w:val="24"/>
        </w:rPr>
      </w:pPr>
    </w:p>
    <w:p>
      <w:pPr>
        <w:snapToGrid w:val="0"/>
        <w:spacing w:line="360" w:lineRule="auto"/>
        <w:ind w:firstLine="480" w:firstLineChars="200"/>
        <w:jc w:val="left"/>
        <w:rPr>
          <w:rFonts w:hAnsi="宋体" w:cs="宋体"/>
          <w:sz w:val="24"/>
          <w:szCs w:val="24"/>
        </w:rPr>
      </w:pP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法定代表人签字：</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授权代表签字：</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投标人名称：         （盖章）</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日    期：</w:t>
      </w: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sz w:val="24"/>
          <w:szCs w:val="24"/>
        </w:rPr>
      </w:pPr>
      <w:bookmarkStart w:id="87" w:name="_Toc250041691"/>
      <w:bookmarkStart w:id="88" w:name="_Toc256175382"/>
      <w:bookmarkStart w:id="89" w:name="_Toc237145385"/>
      <w:bookmarkStart w:id="90" w:name="_Toc297204985"/>
      <w:bookmarkStart w:id="91" w:name="_Toc263753600"/>
      <w:bookmarkStart w:id="92" w:name="_Toc263768864"/>
      <w:bookmarkStart w:id="93" w:name="_Toc217446085"/>
    </w:p>
    <w:bookmarkEnd w:id="87"/>
    <w:bookmarkEnd w:id="88"/>
    <w:bookmarkEnd w:id="89"/>
    <w:bookmarkEnd w:id="90"/>
    <w:bookmarkEnd w:id="91"/>
    <w:bookmarkEnd w:id="92"/>
    <w:p>
      <w:pPr>
        <w:adjustRightInd w:val="0"/>
        <w:snapToGrid w:val="0"/>
        <w:spacing w:line="360" w:lineRule="auto"/>
        <w:jc w:val="left"/>
        <w:rPr>
          <w:rFonts w:hAnsi="宋体" w:cs="宋体"/>
          <w:bCs/>
          <w:spacing w:val="8"/>
          <w:sz w:val="24"/>
          <w:szCs w:val="24"/>
        </w:rPr>
        <w:sectPr>
          <w:footerReference r:id="rId6" w:type="default"/>
          <w:pgSz w:w="11907" w:h="16840"/>
          <w:pgMar w:top="1440" w:right="1080" w:bottom="1440" w:left="1080" w:header="851" w:footer="992" w:gutter="0"/>
          <w:cols w:space="720" w:num="1"/>
          <w:docGrid w:type="lines" w:linePitch="312" w:charSpace="0"/>
        </w:sectPr>
      </w:pPr>
    </w:p>
    <w:bookmarkEnd w:id="93"/>
    <w:p>
      <w:pPr>
        <w:pStyle w:val="5"/>
        <w:keepNext w:val="0"/>
        <w:keepLines w:val="0"/>
        <w:snapToGrid w:val="0"/>
        <w:spacing w:before="0" w:after="0"/>
        <w:jc w:val="center"/>
        <w:rPr>
          <w:rFonts w:ascii="仿宋_GB2312" w:eastAsia="仿宋_GB2312"/>
        </w:rPr>
      </w:pPr>
      <w:bookmarkStart w:id="94" w:name="_Toc123786888"/>
      <w:bookmarkStart w:id="95" w:name="_Toc315963014"/>
      <w:r>
        <w:rPr>
          <w:rFonts w:hint="eastAsia" w:ascii="宋体" w:hAnsi="宋体" w:eastAsia="宋体" w:cs="宋体"/>
        </w:rPr>
        <w:t>三、投标</w:t>
      </w:r>
      <w:bookmarkEnd w:id="94"/>
      <w:r>
        <w:rPr>
          <w:rFonts w:hint="eastAsia" w:ascii="宋体" w:hAnsi="宋体" w:eastAsia="宋体" w:cs="宋体"/>
        </w:rPr>
        <w:t>报价表</w:t>
      </w:r>
    </w:p>
    <w:p>
      <w:pPr>
        <w:adjustRightInd w:val="0"/>
        <w:snapToGrid w:val="0"/>
        <w:spacing w:line="360" w:lineRule="auto"/>
        <w:rPr>
          <w:rFonts w:ascii="仿宋_GB2312" w:hAnsi="宋体" w:eastAsia="仿宋_GB2312"/>
          <w:sz w:val="28"/>
          <w:szCs w:val="28"/>
          <w:u w:val="single"/>
        </w:rPr>
      </w:pPr>
      <w:r>
        <w:rPr>
          <w:rFonts w:hint="eastAsia" w:ascii="仿宋_GB2312" w:hAnsi="宋体" w:eastAsia="仿宋_GB2312"/>
          <w:sz w:val="28"/>
          <w:szCs w:val="28"/>
        </w:rPr>
        <w:t>投标人名称：  招标编号：</w:t>
      </w:r>
    </w:p>
    <w:p>
      <w:pPr>
        <w:adjustRightInd w:val="0"/>
        <w:snapToGrid w:val="0"/>
        <w:spacing w:line="360" w:lineRule="auto"/>
        <w:rPr>
          <w:rFonts w:ascii="仿宋_GB2312" w:hAnsi="宋体" w:eastAsia="仿宋_GB2312"/>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448" w:type="dxa"/>
            <w:vAlign w:val="center"/>
          </w:tcPr>
          <w:p>
            <w:pPr>
              <w:adjustRightInd w:val="0"/>
              <w:snapToGrid w:val="0"/>
              <w:spacing w:line="360" w:lineRule="auto"/>
              <w:jc w:val="center"/>
              <w:rPr>
                <w:rFonts w:ascii="仿宋_GB2312" w:hAnsi="宋体" w:eastAsia="仿宋_GB2312"/>
              </w:rPr>
            </w:pPr>
            <w:r>
              <w:rPr>
                <w:rFonts w:hint="eastAsia" w:ascii="仿宋_GB2312" w:hAnsi="宋体" w:eastAsia="仿宋_GB2312"/>
              </w:rPr>
              <w:t>项目名称</w:t>
            </w:r>
          </w:p>
        </w:tc>
        <w:tc>
          <w:tcPr>
            <w:tcW w:w="6840" w:type="dxa"/>
            <w:vAlign w:val="center"/>
          </w:tcPr>
          <w:p>
            <w:pPr>
              <w:snapToGrid w:val="0"/>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adjustRightInd w:val="0"/>
              <w:snapToGrid w:val="0"/>
              <w:spacing w:line="360" w:lineRule="auto"/>
              <w:jc w:val="center"/>
              <w:rPr>
                <w:rFonts w:ascii="仿宋_GB2312" w:hAnsi="宋体" w:eastAsia="仿宋_GB2312"/>
                <w:u w:val="single"/>
              </w:rPr>
            </w:pPr>
            <w:r>
              <w:rPr>
                <w:rFonts w:hint="eastAsia" w:ascii="仿宋_GB2312" w:hAnsi="宋体" w:eastAsia="仿宋_GB2312"/>
              </w:rPr>
              <w:t>投标总价</w:t>
            </w:r>
          </w:p>
        </w:tc>
        <w:tc>
          <w:tcPr>
            <w:tcW w:w="6840" w:type="dxa"/>
            <w:vAlign w:val="center"/>
          </w:tcPr>
          <w:p>
            <w:pPr>
              <w:snapToGrid w:val="0"/>
              <w:spacing w:line="360" w:lineRule="auto"/>
              <w:rPr>
                <w:rFonts w:ascii="仿宋_GB2312" w:eastAsia="仿宋_GB2312"/>
                <w:u w:val="single"/>
              </w:rPr>
            </w:pPr>
            <w:r>
              <w:rPr>
                <w:rFonts w:hint="eastAsia" w:ascii="仿宋_GB2312" w:eastAsia="仿宋_GB2312"/>
              </w:rPr>
              <w:t>（大写）人民币</w:t>
            </w:r>
          </w:p>
          <w:p>
            <w:pPr>
              <w:adjustRightInd w:val="0"/>
              <w:snapToGrid w:val="0"/>
              <w:spacing w:line="360" w:lineRule="auto"/>
              <w:rPr>
                <w:rFonts w:ascii="仿宋_GB2312" w:eastAsia="仿宋_GB2312"/>
              </w:rPr>
            </w:pPr>
          </w:p>
          <w:p>
            <w:pPr>
              <w:adjustRightInd w:val="0"/>
              <w:snapToGrid w:val="0"/>
              <w:spacing w:line="360" w:lineRule="auto"/>
              <w:rPr>
                <w:rFonts w:ascii="仿宋_GB2312" w:hAnsi="宋体" w:eastAsia="仿宋_GB2312"/>
                <w:u w:val="single"/>
              </w:rPr>
            </w:pPr>
            <w:r>
              <w:rPr>
                <w:rFonts w:hint="eastAsia" w:ascii="仿宋_GB2312" w:eastAsia="仿宋_GB231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snapToGrid w:val="0"/>
              <w:spacing w:line="360" w:lineRule="auto"/>
              <w:jc w:val="center"/>
              <w:rPr>
                <w:rFonts w:ascii="仿宋_GB2312" w:eastAsia="仿宋_GB2312"/>
              </w:rPr>
            </w:pPr>
            <w:r>
              <w:rPr>
                <w:rFonts w:hint="eastAsia" w:ascii="仿宋_GB2312" w:hAnsi="宋体" w:eastAsia="仿宋_GB2312"/>
              </w:rPr>
              <w:t>供货周期</w:t>
            </w:r>
          </w:p>
        </w:tc>
        <w:tc>
          <w:tcPr>
            <w:tcW w:w="6840" w:type="dxa"/>
            <w:vAlign w:val="center"/>
          </w:tcPr>
          <w:p>
            <w:pPr>
              <w:adjustRightInd w:val="0"/>
              <w:snapToGrid w:val="0"/>
              <w:spacing w:line="360" w:lineRule="auto"/>
              <w:rPr>
                <w:rFonts w:ascii="仿宋_GB2312" w:hAnsi="宋体" w:eastAsia="仿宋_GB231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adjustRightInd w:val="0"/>
              <w:snapToGrid w:val="0"/>
              <w:spacing w:line="360" w:lineRule="auto"/>
              <w:jc w:val="center"/>
              <w:rPr>
                <w:rFonts w:ascii="仿宋_GB2312" w:hAnsi="宋体" w:eastAsia="仿宋_GB2312"/>
                <w:u w:val="single"/>
              </w:rPr>
            </w:pPr>
            <w:r>
              <w:rPr>
                <w:rFonts w:hint="eastAsia" w:ascii="仿宋_GB2312" w:eastAsia="仿宋_GB2312"/>
              </w:rPr>
              <w:t>备    注</w:t>
            </w:r>
          </w:p>
        </w:tc>
        <w:tc>
          <w:tcPr>
            <w:tcW w:w="6840" w:type="dxa"/>
            <w:vAlign w:val="center"/>
          </w:tcPr>
          <w:p>
            <w:pPr>
              <w:adjustRightInd w:val="0"/>
              <w:snapToGrid w:val="0"/>
              <w:spacing w:line="360" w:lineRule="auto"/>
              <w:jc w:val="center"/>
              <w:rPr>
                <w:rFonts w:ascii="仿宋_GB2312" w:hAnsi="宋体" w:eastAsia="仿宋_GB2312"/>
                <w:u w:val="single"/>
              </w:rPr>
            </w:pPr>
          </w:p>
        </w:tc>
      </w:tr>
    </w:tbl>
    <w:p>
      <w:pPr>
        <w:adjustRightInd w:val="0"/>
        <w:snapToGrid w:val="0"/>
        <w:spacing w:line="360" w:lineRule="auto"/>
        <w:rPr>
          <w:rFonts w:ascii="仿宋_GB2312" w:hAnsi="宋体" w:eastAsia="仿宋_GB2312"/>
          <w:sz w:val="24"/>
          <w:u w:val="single"/>
        </w:rPr>
      </w:pPr>
    </w:p>
    <w:p>
      <w:pPr>
        <w:snapToGrid w:val="0"/>
        <w:spacing w:line="360" w:lineRule="auto"/>
        <w:rPr>
          <w:rFonts w:ascii="仿宋_GB2312" w:hAnsi="宋体" w:eastAsia="仿宋_GB2312"/>
          <w:sz w:val="24"/>
          <w:u w:val="single"/>
        </w:rPr>
      </w:pPr>
    </w:p>
    <w:p>
      <w:pPr>
        <w:snapToGrid w:val="0"/>
        <w:spacing w:line="360" w:lineRule="auto"/>
        <w:rPr>
          <w:rFonts w:ascii="仿宋_GB2312" w:hAnsi="宋体" w:eastAsia="仿宋_GB2312"/>
          <w:sz w:val="24"/>
          <w:u w:val="single"/>
        </w:rPr>
      </w:pPr>
    </w:p>
    <w:p>
      <w:pPr>
        <w:snapToGrid w:val="0"/>
        <w:spacing w:line="360" w:lineRule="auto"/>
        <w:rPr>
          <w:rFonts w:ascii="仿宋_GB2312" w:hAnsi="宋体" w:eastAsia="仿宋_GB2312"/>
          <w:sz w:val="24"/>
          <w:u w:val="single"/>
        </w:rPr>
      </w:pPr>
    </w:p>
    <w:p>
      <w:pPr>
        <w:snapToGrid w:val="0"/>
        <w:spacing w:line="360" w:lineRule="auto"/>
        <w:rPr>
          <w:rFonts w:ascii="仿宋_GB2312" w:eastAsia="仿宋_GB2312"/>
          <w:sz w:val="28"/>
          <w:u w:val="single"/>
        </w:rPr>
      </w:pPr>
      <w:r>
        <w:rPr>
          <w:rFonts w:hint="eastAsia" w:ascii="仿宋_GB2312" w:eastAsia="仿宋_GB2312"/>
          <w:sz w:val="28"/>
        </w:rPr>
        <w:t>投标人代表签字：</w:t>
      </w:r>
    </w:p>
    <w:p>
      <w:pPr>
        <w:adjustRightInd w:val="0"/>
        <w:snapToGrid w:val="0"/>
        <w:spacing w:line="360" w:lineRule="auto"/>
        <w:rPr>
          <w:rFonts w:ascii="仿宋_GB2312" w:hAnsi="宋体" w:eastAsia="仿宋_GB2312"/>
          <w:sz w:val="28"/>
        </w:rPr>
      </w:pPr>
      <w:r>
        <w:rPr>
          <w:rFonts w:hint="eastAsia" w:ascii="仿宋_GB2312" w:hAnsi="宋体" w:eastAsia="仿宋_GB2312"/>
          <w:sz w:val="28"/>
        </w:rPr>
        <w:t xml:space="preserve">                          （盖公章）</w:t>
      </w:r>
    </w:p>
    <w:p>
      <w:pPr>
        <w:adjustRightInd w:val="0"/>
        <w:snapToGrid w:val="0"/>
        <w:spacing w:line="360" w:lineRule="auto"/>
        <w:rPr>
          <w:rFonts w:ascii="仿宋_GB2312" w:hAnsi="宋体" w:eastAsia="仿宋_GB2312"/>
          <w:sz w:val="28"/>
          <w:u w:val="single"/>
        </w:rPr>
      </w:pPr>
      <w:r>
        <w:rPr>
          <w:rFonts w:hint="eastAsia" w:ascii="仿宋_GB2312" w:hAnsi="宋体" w:eastAsia="仿宋_GB2312"/>
          <w:sz w:val="28"/>
        </w:rPr>
        <w:t>日期：年月日</w:t>
      </w: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四、分项报价明细表</w:t>
      </w:r>
      <w:bookmarkEnd w:id="95"/>
    </w:p>
    <w:p>
      <w:pPr>
        <w:snapToGrid w:val="0"/>
        <w:spacing w:line="360" w:lineRule="auto"/>
        <w:jc w:val="left"/>
        <w:rPr>
          <w:rFonts w:hAnsi="宋体" w:cs="宋体"/>
          <w:sz w:val="24"/>
          <w:szCs w:val="24"/>
        </w:rPr>
      </w:pPr>
    </w:p>
    <w:p>
      <w:pPr>
        <w:adjustRightInd w:val="0"/>
        <w:snapToGrid w:val="0"/>
        <w:spacing w:line="360" w:lineRule="auto"/>
        <w:jc w:val="left"/>
        <w:rPr>
          <w:rFonts w:hAnsi="宋体" w:cs="宋体"/>
          <w:sz w:val="24"/>
          <w:szCs w:val="24"/>
        </w:rPr>
      </w:pPr>
      <w:r>
        <w:rPr>
          <w:rFonts w:hint="eastAsia" w:hAnsi="宋体" w:cs="宋体"/>
          <w:sz w:val="24"/>
          <w:szCs w:val="24"/>
        </w:rPr>
        <w:t>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79"/>
        <w:gridCol w:w="1283"/>
        <w:gridCol w:w="983"/>
        <w:gridCol w:w="788"/>
        <w:gridCol w:w="789"/>
        <w:gridCol w:w="788"/>
        <w:gridCol w:w="138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exact"/>
          <w:jc w:val="center"/>
        </w:trPr>
        <w:tc>
          <w:tcPr>
            <w:tcW w:w="885" w:type="dxa"/>
            <w:vAlign w:val="center"/>
          </w:tcPr>
          <w:p>
            <w:pPr>
              <w:snapToGrid w:val="0"/>
              <w:spacing w:line="360" w:lineRule="auto"/>
              <w:jc w:val="center"/>
              <w:rPr>
                <w:rFonts w:hAnsi="宋体" w:cs="宋体"/>
                <w:sz w:val="24"/>
                <w:szCs w:val="24"/>
              </w:rPr>
            </w:pPr>
            <w:r>
              <w:rPr>
                <w:rFonts w:hint="eastAsia" w:hAnsi="宋体" w:cs="宋体"/>
                <w:sz w:val="24"/>
                <w:szCs w:val="24"/>
              </w:rPr>
              <w:t>序号</w:t>
            </w:r>
          </w:p>
        </w:tc>
        <w:tc>
          <w:tcPr>
            <w:tcW w:w="1379" w:type="dxa"/>
            <w:vAlign w:val="center"/>
          </w:tcPr>
          <w:p>
            <w:pPr>
              <w:snapToGrid w:val="0"/>
              <w:spacing w:line="360" w:lineRule="auto"/>
              <w:jc w:val="center"/>
              <w:rPr>
                <w:rFonts w:hAnsi="宋体" w:cs="宋体"/>
                <w:sz w:val="24"/>
                <w:szCs w:val="24"/>
              </w:rPr>
            </w:pPr>
            <w:r>
              <w:rPr>
                <w:rFonts w:hint="eastAsia" w:hAnsi="宋体" w:cs="宋体"/>
                <w:sz w:val="24"/>
                <w:szCs w:val="24"/>
              </w:rPr>
              <w:t>产品名称</w:t>
            </w:r>
          </w:p>
        </w:tc>
        <w:tc>
          <w:tcPr>
            <w:tcW w:w="1283" w:type="dxa"/>
            <w:vAlign w:val="center"/>
          </w:tcPr>
          <w:p>
            <w:pPr>
              <w:snapToGrid w:val="0"/>
              <w:spacing w:line="360" w:lineRule="auto"/>
              <w:jc w:val="center"/>
              <w:rPr>
                <w:rFonts w:hAnsi="宋体" w:cs="宋体"/>
                <w:sz w:val="24"/>
                <w:szCs w:val="24"/>
              </w:rPr>
            </w:pPr>
            <w:r>
              <w:rPr>
                <w:rFonts w:hint="eastAsia" w:hAnsi="宋体" w:cs="宋体"/>
                <w:sz w:val="24"/>
                <w:szCs w:val="24"/>
              </w:rPr>
              <w:t>规格型号</w:t>
            </w:r>
          </w:p>
        </w:tc>
        <w:tc>
          <w:tcPr>
            <w:tcW w:w="983" w:type="dxa"/>
            <w:vAlign w:val="center"/>
          </w:tcPr>
          <w:p>
            <w:pPr>
              <w:snapToGrid w:val="0"/>
              <w:spacing w:line="360" w:lineRule="auto"/>
              <w:jc w:val="center"/>
              <w:rPr>
                <w:rFonts w:hAnsi="宋体" w:cs="宋体"/>
                <w:sz w:val="24"/>
                <w:szCs w:val="24"/>
              </w:rPr>
            </w:pPr>
            <w:r>
              <w:rPr>
                <w:rFonts w:hint="eastAsia" w:hAnsi="宋体" w:cs="宋体"/>
                <w:sz w:val="24"/>
                <w:szCs w:val="24"/>
              </w:rPr>
              <w:t>品牌</w:t>
            </w:r>
          </w:p>
        </w:tc>
        <w:tc>
          <w:tcPr>
            <w:tcW w:w="788" w:type="dxa"/>
            <w:vAlign w:val="center"/>
          </w:tcPr>
          <w:p>
            <w:pPr>
              <w:snapToGrid w:val="0"/>
              <w:spacing w:line="360" w:lineRule="auto"/>
              <w:jc w:val="center"/>
              <w:rPr>
                <w:rFonts w:hAnsi="宋体" w:cs="宋体"/>
                <w:sz w:val="24"/>
                <w:szCs w:val="24"/>
              </w:rPr>
            </w:pPr>
            <w:r>
              <w:rPr>
                <w:rFonts w:hint="eastAsia" w:hAnsi="宋体" w:cs="宋体"/>
                <w:sz w:val="24"/>
                <w:szCs w:val="24"/>
              </w:rPr>
              <w:t>单位</w:t>
            </w:r>
          </w:p>
        </w:tc>
        <w:tc>
          <w:tcPr>
            <w:tcW w:w="789" w:type="dxa"/>
            <w:vAlign w:val="center"/>
          </w:tcPr>
          <w:p>
            <w:pPr>
              <w:snapToGrid w:val="0"/>
              <w:spacing w:line="360" w:lineRule="auto"/>
              <w:jc w:val="center"/>
              <w:rPr>
                <w:rFonts w:hAnsi="宋体" w:cs="宋体"/>
                <w:sz w:val="24"/>
                <w:szCs w:val="24"/>
              </w:rPr>
            </w:pPr>
            <w:r>
              <w:rPr>
                <w:rFonts w:hint="eastAsia" w:hAnsi="宋体" w:cs="宋体"/>
                <w:sz w:val="24"/>
                <w:szCs w:val="24"/>
              </w:rPr>
              <w:t>数量</w:t>
            </w:r>
          </w:p>
        </w:tc>
        <w:tc>
          <w:tcPr>
            <w:tcW w:w="788" w:type="dxa"/>
            <w:vAlign w:val="center"/>
          </w:tcPr>
          <w:p>
            <w:pPr>
              <w:snapToGrid w:val="0"/>
              <w:spacing w:line="360" w:lineRule="auto"/>
              <w:jc w:val="center"/>
              <w:rPr>
                <w:rFonts w:hAnsi="宋体" w:cs="宋体"/>
                <w:sz w:val="24"/>
                <w:szCs w:val="24"/>
              </w:rPr>
            </w:pPr>
            <w:r>
              <w:rPr>
                <w:rFonts w:hint="eastAsia" w:hAnsi="宋体" w:cs="宋体"/>
                <w:sz w:val="24"/>
                <w:szCs w:val="24"/>
              </w:rPr>
              <w:t>单价</w:t>
            </w:r>
          </w:p>
        </w:tc>
        <w:tc>
          <w:tcPr>
            <w:tcW w:w="1381" w:type="dxa"/>
            <w:vAlign w:val="center"/>
          </w:tcPr>
          <w:p>
            <w:pPr>
              <w:snapToGrid w:val="0"/>
              <w:spacing w:line="360" w:lineRule="auto"/>
              <w:jc w:val="center"/>
              <w:rPr>
                <w:rFonts w:hAnsi="宋体" w:cs="宋体"/>
                <w:sz w:val="24"/>
                <w:szCs w:val="24"/>
              </w:rPr>
            </w:pPr>
            <w:r>
              <w:rPr>
                <w:rFonts w:hint="eastAsia" w:hAnsi="宋体" w:cs="宋体"/>
                <w:sz w:val="24"/>
                <w:szCs w:val="24"/>
              </w:rPr>
              <w:t>金额</w:t>
            </w:r>
          </w:p>
        </w:tc>
        <w:tc>
          <w:tcPr>
            <w:tcW w:w="899" w:type="dxa"/>
            <w:vAlign w:val="center"/>
          </w:tcPr>
          <w:p>
            <w:pPr>
              <w:snapToGrid w:val="0"/>
              <w:spacing w:line="360" w:lineRule="auto"/>
              <w:ind w:firstLine="120" w:firstLineChars="50"/>
              <w:jc w:val="center"/>
              <w:rPr>
                <w:rFonts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6010" w:type="dxa"/>
            <w:gridSpan w:val="6"/>
            <w:vAlign w:val="center"/>
          </w:tcPr>
          <w:p>
            <w:pPr>
              <w:snapToGrid w:val="0"/>
              <w:spacing w:line="360" w:lineRule="auto"/>
              <w:ind w:firstLine="600" w:firstLineChars="250"/>
              <w:jc w:val="left"/>
              <w:rPr>
                <w:rFonts w:hAnsi="宋体" w:cs="宋体"/>
                <w:sz w:val="24"/>
                <w:szCs w:val="24"/>
              </w:rPr>
            </w:pPr>
            <w:r>
              <w:rPr>
                <w:rFonts w:hint="eastAsia" w:hAnsi="宋体" w:cs="宋体"/>
                <w:sz w:val="24"/>
                <w:szCs w:val="24"/>
              </w:rPr>
              <w:t>分项报价合计（万元）</w:t>
            </w: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1、投标人必须按“分项报价明细表”的格式详细报出投标总价的各个组成部分的报价并具体填写品牌、规格、型号等，否则作无效投标处理。如产品为国家节能、环保标志清单产品也请在备注栏注明。</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2、“分项报价明细表”各分项报价合计应当与“投标报价表”报价合计相等。</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adjustRightInd w:val="0"/>
        <w:snapToGrid w:val="0"/>
        <w:spacing w:line="360" w:lineRule="auto"/>
        <w:jc w:val="left"/>
        <w:rPr>
          <w:rFonts w:hAnsi="宋体" w:cs="宋体"/>
          <w:bCs/>
          <w:spacing w:val="8"/>
          <w:sz w:val="24"/>
          <w:szCs w:val="24"/>
        </w:rPr>
      </w:pPr>
    </w:p>
    <w:p>
      <w:pPr>
        <w:adjustRightInd w:val="0"/>
        <w:snapToGrid w:val="0"/>
        <w:spacing w:line="360" w:lineRule="auto"/>
        <w:ind w:firstLine="480" w:firstLineChars="200"/>
        <w:jc w:val="left"/>
        <w:rPr>
          <w:rFonts w:hAnsi="宋体" w:cs="宋体"/>
          <w:sz w:val="24"/>
          <w:szCs w:val="24"/>
        </w:rPr>
        <w:sectPr>
          <w:footerReference r:id="rId7" w:type="default"/>
          <w:type w:val="nextColumn"/>
          <w:pgSz w:w="11907" w:h="16840"/>
          <w:pgMar w:top="1440" w:right="1474" w:bottom="1440" w:left="1474" w:header="851" w:footer="992" w:gutter="0"/>
          <w:cols w:space="720" w:num="1"/>
          <w:docGrid w:type="lines" w:linePitch="312" w:charSpace="0"/>
        </w:sectPr>
      </w:pPr>
    </w:p>
    <w:p>
      <w:pPr>
        <w:pStyle w:val="5"/>
        <w:snapToGrid w:val="0"/>
        <w:spacing w:before="0" w:after="0" w:line="360" w:lineRule="auto"/>
        <w:jc w:val="center"/>
        <w:rPr>
          <w:rFonts w:ascii="宋体" w:hAnsi="宋体" w:eastAsia="宋体" w:cs="宋体"/>
        </w:rPr>
      </w:pPr>
      <w:bookmarkStart w:id="96" w:name="_Toc217446087"/>
    </w:p>
    <w:p>
      <w:pPr>
        <w:pStyle w:val="5"/>
        <w:snapToGrid w:val="0"/>
        <w:spacing w:before="0" w:after="0" w:line="360" w:lineRule="auto"/>
        <w:jc w:val="center"/>
        <w:rPr>
          <w:rFonts w:ascii="宋体" w:hAnsi="宋体" w:eastAsia="宋体" w:cs="宋体"/>
        </w:rPr>
      </w:pPr>
      <w:r>
        <w:rPr>
          <w:rFonts w:hint="eastAsia" w:ascii="宋体" w:hAnsi="宋体" w:eastAsia="宋体" w:cs="宋体"/>
        </w:rPr>
        <w:t>五、商务应答表</w:t>
      </w:r>
      <w:bookmarkEnd w:id="96"/>
    </w:p>
    <w:p>
      <w:pPr>
        <w:pStyle w:val="15"/>
        <w:pBdr>
          <w:bottom w:val="none" w:color="auto" w:sz="0" w:space="0"/>
        </w:pBdr>
        <w:spacing w:line="360" w:lineRule="auto"/>
        <w:jc w:val="left"/>
        <w:rPr>
          <w:rFonts w:hAnsi="宋体" w:cs="宋体"/>
          <w:sz w:val="24"/>
          <w:szCs w:val="24"/>
        </w:rPr>
      </w:pPr>
      <w:r>
        <w:rPr>
          <w:rFonts w:hint="eastAsia" w:hAnsi="宋体" w:cs="宋体"/>
          <w:sz w:val="24"/>
          <w:szCs w:val="24"/>
        </w:rPr>
        <w:t>招标编号：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077"/>
        <w:gridCol w:w="3078"/>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28" w:type="dxa"/>
            <w:vAlign w:val="center"/>
          </w:tcPr>
          <w:p>
            <w:pPr>
              <w:snapToGrid w:val="0"/>
              <w:spacing w:line="360" w:lineRule="auto"/>
              <w:jc w:val="left"/>
              <w:rPr>
                <w:rFonts w:hAnsi="宋体" w:cs="宋体"/>
                <w:sz w:val="24"/>
                <w:szCs w:val="24"/>
              </w:rPr>
            </w:pPr>
            <w:r>
              <w:rPr>
                <w:rFonts w:hint="eastAsia" w:hAnsi="宋体" w:cs="宋体"/>
                <w:sz w:val="24"/>
                <w:szCs w:val="24"/>
              </w:rPr>
              <w:t>序号</w:t>
            </w:r>
          </w:p>
        </w:tc>
        <w:tc>
          <w:tcPr>
            <w:tcW w:w="3077" w:type="dxa"/>
            <w:vAlign w:val="center"/>
          </w:tcPr>
          <w:p>
            <w:pPr>
              <w:snapToGrid w:val="0"/>
              <w:spacing w:line="360" w:lineRule="auto"/>
              <w:jc w:val="center"/>
              <w:rPr>
                <w:rFonts w:hAnsi="宋体" w:cs="宋体"/>
                <w:sz w:val="24"/>
                <w:szCs w:val="24"/>
              </w:rPr>
            </w:pPr>
            <w:r>
              <w:rPr>
                <w:rFonts w:hint="eastAsia" w:hAnsi="宋体" w:cs="宋体"/>
                <w:sz w:val="24"/>
                <w:szCs w:val="24"/>
              </w:rPr>
              <w:t>招标文件要求</w:t>
            </w:r>
          </w:p>
        </w:tc>
        <w:tc>
          <w:tcPr>
            <w:tcW w:w="3078" w:type="dxa"/>
            <w:vAlign w:val="center"/>
          </w:tcPr>
          <w:p>
            <w:pPr>
              <w:snapToGrid w:val="0"/>
              <w:spacing w:line="360" w:lineRule="auto"/>
              <w:jc w:val="center"/>
              <w:rPr>
                <w:rFonts w:hAnsi="宋体" w:cs="宋体"/>
                <w:sz w:val="24"/>
                <w:szCs w:val="24"/>
              </w:rPr>
            </w:pPr>
            <w:r>
              <w:rPr>
                <w:rFonts w:hint="eastAsia" w:hAnsi="宋体" w:cs="宋体"/>
                <w:sz w:val="24"/>
                <w:szCs w:val="24"/>
              </w:rPr>
              <w:t>投标文件应答</w:t>
            </w:r>
          </w:p>
        </w:tc>
        <w:tc>
          <w:tcPr>
            <w:tcW w:w="3079" w:type="dxa"/>
            <w:vAlign w:val="center"/>
          </w:tcPr>
          <w:p>
            <w:pPr>
              <w:snapToGrid w:val="0"/>
              <w:spacing w:line="360" w:lineRule="auto"/>
              <w:jc w:val="center"/>
              <w:rPr>
                <w:rFonts w:hAnsi="宋体" w:cs="宋体"/>
                <w:sz w:val="24"/>
                <w:szCs w:val="24"/>
              </w:rPr>
            </w:pPr>
            <w:r>
              <w:rPr>
                <w:rFonts w:hint="eastAsia"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ind w:left="317" w:hanging="316" w:hangingChars="132"/>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供应商必须据实填写，不得虚假应答，否则将取消其投标或中标资格。</w:t>
      </w: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六、投标人近三年类似项目业绩一览表</w:t>
      </w:r>
    </w:p>
    <w:p>
      <w:pPr>
        <w:snapToGrid w:val="0"/>
        <w:spacing w:line="360" w:lineRule="auto"/>
        <w:jc w:val="left"/>
        <w:rPr>
          <w:rFonts w:hAnsi="宋体" w:cs="宋体"/>
          <w:sz w:val="24"/>
          <w:szCs w:val="24"/>
        </w:rPr>
      </w:pPr>
      <w:r>
        <w:rPr>
          <w:rFonts w:hint="eastAsia" w:hAnsi="宋体" w:cs="宋体"/>
          <w:sz w:val="24"/>
          <w:szCs w:val="24"/>
        </w:rPr>
        <w:t xml:space="preserve">   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537"/>
        <w:gridCol w:w="1792"/>
        <w:gridCol w:w="2505"/>
        <w:gridCol w:w="1461"/>
        <w:gridCol w:w="1478"/>
        <w:gridCol w:w="10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top w:val="single" w:color="auto" w:sz="4" w:space="0"/>
            </w:tcBorders>
            <w:vAlign w:val="center"/>
          </w:tcPr>
          <w:p>
            <w:pPr>
              <w:snapToGrid w:val="0"/>
              <w:spacing w:line="360" w:lineRule="auto"/>
              <w:ind w:firstLine="120" w:firstLineChars="50"/>
              <w:jc w:val="center"/>
              <w:rPr>
                <w:rFonts w:hAnsi="宋体" w:cs="宋体"/>
                <w:bCs/>
                <w:sz w:val="24"/>
                <w:szCs w:val="24"/>
              </w:rPr>
            </w:pPr>
            <w:r>
              <w:rPr>
                <w:rFonts w:hint="eastAsia" w:hAnsi="宋体" w:cs="宋体"/>
                <w:bCs/>
                <w:sz w:val="24"/>
                <w:szCs w:val="24"/>
              </w:rPr>
              <w:t>年份</w:t>
            </w:r>
          </w:p>
        </w:tc>
        <w:tc>
          <w:tcPr>
            <w:tcW w:w="1792" w:type="dxa"/>
            <w:vAlign w:val="center"/>
          </w:tcPr>
          <w:p>
            <w:pPr>
              <w:snapToGrid w:val="0"/>
              <w:spacing w:line="360" w:lineRule="auto"/>
              <w:jc w:val="center"/>
              <w:rPr>
                <w:rFonts w:hAnsi="宋体" w:cs="宋体"/>
                <w:bCs/>
                <w:sz w:val="24"/>
                <w:szCs w:val="24"/>
              </w:rPr>
            </w:pPr>
            <w:r>
              <w:rPr>
                <w:rFonts w:hint="eastAsia" w:hAnsi="宋体" w:cs="宋体"/>
                <w:bCs/>
                <w:sz w:val="24"/>
                <w:szCs w:val="24"/>
              </w:rPr>
              <w:t>用户名称</w:t>
            </w:r>
          </w:p>
        </w:tc>
        <w:tc>
          <w:tcPr>
            <w:tcW w:w="2505" w:type="dxa"/>
            <w:vAlign w:val="center"/>
          </w:tcPr>
          <w:p>
            <w:pPr>
              <w:snapToGrid w:val="0"/>
              <w:spacing w:line="360" w:lineRule="auto"/>
              <w:jc w:val="center"/>
              <w:rPr>
                <w:rFonts w:hAnsi="宋体" w:cs="宋体"/>
                <w:bCs/>
                <w:sz w:val="24"/>
                <w:szCs w:val="24"/>
              </w:rPr>
            </w:pPr>
            <w:r>
              <w:rPr>
                <w:rFonts w:hint="eastAsia" w:hAnsi="宋体" w:cs="宋体"/>
                <w:bCs/>
                <w:sz w:val="24"/>
                <w:szCs w:val="24"/>
              </w:rPr>
              <w:t>项目名称</w:t>
            </w:r>
          </w:p>
        </w:tc>
        <w:tc>
          <w:tcPr>
            <w:tcW w:w="1461" w:type="dxa"/>
            <w:vAlign w:val="center"/>
          </w:tcPr>
          <w:p>
            <w:pPr>
              <w:snapToGrid w:val="0"/>
              <w:spacing w:line="360" w:lineRule="auto"/>
              <w:jc w:val="center"/>
              <w:rPr>
                <w:rFonts w:hAnsi="宋体" w:cs="宋体"/>
                <w:bCs/>
                <w:sz w:val="24"/>
                <w:szCs w:val="24"/>
              </w:rPr>
            </w:pPr>
            <w:r>
              <w:rPr>
                <w:rFonts w:hint="eastAsia" w:hAnsi="宋体" w:cs="宋体"/>
                <w:bCs/>
                <w:sz w:val="24"/>
                <w:szCs w:val="24"/>
              </w:rPr>
              <w:t>完成时间</w:t>
            </w:r>
          </w:p>
        </w:tc>
        <w:tc>
          <w:tcPr>
            <w:tcW w:w="1478" w:type="dxa"/>
            <w:vAlign w:val="center"/>
          </w:tcPr>
          <w:p>
            <w:pPr>
              <w:snapToGrid w:val="0"/>
              <w:spacing w:line="360" w:lineRule="auto"/>
              <w:ind w:firstLine="120" w:firstLineChars="50"/>
              <w:jc w:val="center"/>
              <w:rPr>
                <w:rFonts w:hAnsi="宋体" w:cs="宋体"/>
                <w:bCs/>
                <w:sz w:val="24"/>
                <w:szCs w:val="24"/>
              </w:rPr>
            </w:pPr>
            <w:r>
              <w:rPr>
                <w:rFonts w:hint="eastAsia" w:hAnsi="宋体" w:cs="宋体"/>
                <w:bCs/>
                <w:sz w:val="24"/>
                <w:szCs w:val="24"/>
              </w:rPr>
              <w:t>合同金额</w:t>
            </w:r>
          </w:p>
        </w:tc>
        <w:tc>
          <w:tcPr>
            <w:tcW w:w="1081" w:type="dxa"/>
            <w:tcBorders>
              <w:left w:val="single" w:color="auto" w:sz="4" w:space="0"/>
            </w:tcBorders>
            <w:vAlign w:val="center"/>
          </w:tcPr>
          <w:p>
            <w:pPr>
              <w:snapToGrid w:val="0"/>
              <w:spacing w:line="360" w:lineRule="auto"/>
              <w:jc w:val="center"/>
              <w:rPr>
                <w:rFonts w:hAnsi="宋体" w:cs="宋体"/>
                <w:bCs/>
                <w:sz w:val="24"/>
                <w:szCs w:val="24"/>
              </w:rPr>
            </w:pPr>
            <w:r>
              <w:rPr>
                <w:rFonts w:hint="eastAsia"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tcBorders>
              <w:right w:val="single" w:color="auto" w:sz="4" w:space="0"/>
            </w:tcBorders>
            <w:vAlign w:val="center"/>
          </w:tcPr>
          <w:p>
            <w:pPr>
              <w:snapToGrid w:val="0"/>
              <w:spacing w:line="360" w:lineRule="auto"/>
              <w:jc w:val="left"/>
              <w:rPr>
                <w:rFonts w:hAnsi="宋体" w:cs="宋体"/>
                <w:sz w:val="24"/>
                <w:szCs w:val="24"/>
              </w:rPr>
            </w:pPr>
          </w:p>
        </w:tc>
        <w:tc>
          <w:tcPr>
            <w:tcW w:w="2505" w:type="dxa"/>
            <w:tcBorders>
              <w:left w:val="single" w:color="auto" w:sz="4" w:space="0"/>
            </w:tcBorders>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right w:val="single" w:color="auto" w:sz="4" w:space="0"/>
            </w:tcBorders>
            <w:vAlign w:val="center"/>
          </w:tcPr>
          <w:p>
            <w:pPr>
              <w:snapToGrid w:val="0"/>
              <w:spacing w:line="360" w:lineRule="auto"/>
              <w:jc w:val="left"/>
              <w:rPr>
                <w:rFonts w:hAnsi="宋体" w:cs="宋体"/>
                <w:sz w:val="24"/>
                <w:szCs w:val="24"/>
              </w:rPr>
            </w:pPr>
          </w:p>
        </w:tc>
        <w:tc>
          <w:tcPr>
            <w:tcW w:w="1792"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2505"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461"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478"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vAlign w:val="center"/>
          </w:tcPr>
          <w:p>
            <w:pPr>
              <w:snapToGrid w:val="0"/>
              <w:spacing w:line="360" w:lineRule="auto"/>
              <w:jc w:val="left"/>
              <w:rPr>
                <w:rFonts w:hAnsi="宋体" w:cs="宋体"/>
                <w:sz w:val="24"/>
                <w:szCs w:val="24"/>
              </w:rPr>
            </w:pPr>
          </w:p>
        </w:tc>
        <w:tc>
          <w:tcPr>
            <w:tcW w:w="1792"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478" w:type="dxa"/>
            <w:tcBorders>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1537" w:type="dxa"/>
            <w:tcBorders>
              <w:bottom w:val="single" w:color="auto" w:sz="4" w:space="0"/>
            </w:tcBorders>
            <w:vAlign w:val="center"/>
          </w:tcPr>
          <w:p>
            <w:pPr>
              <w:snapToGrid w:val="0"/>
              <w:spacing w:line="360" w:lineRule="auto"/>
              <w:jc w:val="left"/>
              <w:rPr>
                <w:rFonts w:hAnsi="宋体" w:cs="宋体"/>
                <w:sz w:val="24"/>
                <w:szCs w:val="24"/>
              </w:rPr>
            </w:pPr>
          </w:p>
        </w:tc>
        <w:tc>
          <w:tcPr>
            <w:tcW w:w="1792" w:type="dxa"/>
            <w:tcBorders>
              <w:bottom w:val="single" w:color="auto" w:sz="4" w:space="0"/>
            </w:tcBorders>
            <w:vAlign w:val="center"/>
          </w:tcPr>
          <w:p>
            <w:pPr>
              <w:snapToGrid w:val="0"/>
              <w:spacing w:line="360" w:lineRule="auto"/>
              <w:jc w:val="left"/>
              <w:rPr>
                <w:rFonts w:hAnsi="宋体" w:cs="宋体"/>
                <w:sz w:val="24"/>
                <w:szCs w:val="24"/>
              </w:rPr>
            </w:pPr>
          </w:p>
        </w:tc>
        <w:tc>
          <w:tcPr>
            <w:tcW w:w="2505" w:type="dxa"/>
            <w:tcBorders>
              <w:bottom w:val="single" w:color="auto" w:sz="4" w:space="0"/>
            </w:tcBorders>
            <w:vAlign w:val="center"/>
          </w:tcPr>
          <w:p>
            <w:pPr>
              <w:snapToGrid w:val="0"/>
              <w:spacing w:line="360" w:lineRule="auto"/>
              <w:jc w:val="left"/>
              <w:rPr>
                <w:rFonts w:hAnsi="宋体" w:cs="宋体"/>
                <w:sz w:val="24"/>
                <w:szCs w:val="24"/>
              </w:rPr>
            </w:pPr>
          </w:p>
        </w:tc>
        <w:tc>
          <w:tcPr>
            <w:tcW w:w="1461" w:type="dxa"/>
            <w:tcBorders>
              <w:bottom w:val="single" w:color="auto" w:sz="4" w:space="0"/>
            </w:tcBorders>
            <w:vAlign w:val="center"/>
          </w:tcPr>
          <w:p>
            <w:pPr>
              <w:snapToGrid w:val="0"/>
              <w:spacing w:line="360" w:lineRule="auto"/>
              <w:jc w:val="left"/>
              <w:rPr>
                <w:rFonts w:hAnsi="宋体" w:cs="宋体"/>
                <w:sz w:val="24"/>
                <w:szCs w:val="24"/>
              </w:rPr>
            </w:pPr>
          </w:p>
        </w:tc>
        <w:tc>
          <w:tcPr>
            <w:tcW w:w="1478" w:type="dxa"/>
            <w:tcBorders>
              <w:bottom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bottom w:val="single" w:color="auto" w:sz="4" w:space="0"/>
            </w:tcBorders>
            <w:vAlign w:val="center"/>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投标人以上业绩需提供有关书面证明材料（中标通知/合同复印件，原件备查，规格型号、数量、价格等具体内容不能遮盖，否则投标无效）。如要求描述“完成项目质量”，则需提供合同验收合格或用户单位书面证明，表不够可另附。</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widowControl/>
        <w:jc w:val="left"/>
        <w:rPr>
          <w:rFonts w:hAnsi="宋体" w:cs="宋体"/>
        </w:rPr>
      </w:pPr>
      <w:r>
        <w:rPr>
          <w:rFonts w:hint="eastAsia" w:hAnsi="宋体" w:cs="宋体"/>
        </w:rPr>
        <w:t>七、投标人认为有必要补充说明的相关信息</w:t>
      </w:r>
    </w:p>
    <w:p>
      <w:pPr>
        <w:adjustRightInd w:val="0"/>
        <w:snapToGrid w:val="0"/>
        <w:spacing w:line="360" w:lineRule="auto"/>
        <w:jc w:val="left"/>
        <w:rPr>
          <w:rFonts w:hAnsi="宋体" w:cs="宋体"/>
          <w:bCs/>
          <w:spacing w:val="8"/>
          <w:sz w:val="24"/>
          <w:szCs w:val="24"/>
        </w:rPr>
        <w:sectPr>
          <w:pgSz w:w="11906" w:h="16838"/>
          <w:pgMar w:top="1083" w:right="1440" w:bottom="1083" w:left="1440" w:header="851" w:footer="992" w:gutter="0"/>
          <w:cols w:space="720" w:num="1"/>
          <w:docGrid w:type="lines" w:linePitch="473" w:charSpace="0"/>
        </w:sectPr>
      </w:pPr>
    </w:p>
    <w:p>
      <w:pPr>
        <w:pStyle w:val="4"/>
        <w:snapToGrid w:val="0"/>
        <w:spacing w:before="0" w:after="283" w:afterLines="60" w:line="360" w:lineRule="auto"/>
        <w:jc w:val="center"/>
        <w:rPr>
          <w:rFonts w:hAnsi="宋体"/>
          <w:sz w:val="32"/>
          <w:szCs w:val="32"/>
        </w:rPr>
      </w:pPr>
      <w:bookmarkStart w:id="97" w:name="_Hlk42504294"/>
      <w:r>
        <w:rPr>
          <w:rFonts w:hint="eastAsia" w:hAnsi="宋体"/>
          <w:sz w:val="32"/>
          <w:szCs w:val="32"/>
        </w:rPr>
        <w:t>第四章  招标项目技术、商务及其他要求</w:t>
      </w:r>
    </w:p>
    <w:tbl>
      <w:tblPr>
        <w:tblStyle w:val="21"/>
        <w:tblW w:w="10309" w:type="dxa"/>
        <w:tblInd w:w="113" w:type="dxa"/>
        <w:tblLayout w:type="fixed"/>
        <w:tblCellMar>
          <w:top w:w="0" w:type="dxa"/>
          <w:left w:w="108" w:type="dxa"/>
          <w:bottom w:w="0" w:type="dxa"/>
          <w:right w:w="108" w:type="dxa"/>
        </w:tblCellMar>
      </w:tblPr>
      <w:tblGrid>
        <w:gridCol w:w="1313"/>
        <w:gridCol w:w="8996"/>
      </w:tblGrid>
      <w:tr>
        <w:tblPrEx>
          <w:tblCellMar>
            <w:top w:w="0" w:type="dxa"/>
            <w:left w:w="108" w:type="dxa"/>
            <w:bottom w:w="0" w:type="dxa"/>
            <w:right w:w="108" w:type="dxa"/>
          </w:tblCellMar>
        </w:tblPrEx>
        <w:trPr>
          <w:trHeight w:val="985" w:hRule="atLeast"/>
        </w:trPr>
        <w:tc>
          <w:tcPr>
            <w:tcW w:w="1313" w:type="dxa"/>
            <w:tcBorders>
              <w:top w:val="single" w:color="auto" w:sz="4" w:space="0"/>
              <w:left w:val="single" w:color="000000" w:sz="4" w:space="0"/>
              <w:bottom w:val="single" w:color="000000" w:sz="4" w:space="0"/>
              <w:right w:val="single" w:color="000000" w:sz="4" w:space="0"/>
            </w:tcBorders>
            <w:vAlign w:val="center"/>
          </w:tcPr>
          <w:p>
            <w:pPr>
              <w:pStyle w:val="64"/>
              <w:adjustRightInd w:val="0"/>
              <w:snapToGrid w:val="0"/>
              <w:ind w:firstLine="0" w:firstLineChars="0"/>
              <w:jc w:val="center"/>
              <w:rPr>
                <w:rFonts w:hAnsi="宋体"/>
                <w:sz w:val="24"/>
                <w:szCs w:val="24"/>
              </w:rPr>
            </w:pPr>
            <w:r>
              <w:rPr>
                <w:rFonts w:hint="eastAsia" w:hAnsi="宋体"/>
                <w:sz w:val="24"/>
                <w:szCs w:val="24"/>
              </w:rPr>
              <w:t>项目名称</w:t>
            </w:r>
          </w:p>
        </w:tc>
        <w:tc>
          <w:tcPr>
            <w:tcW w:w="8996" w:type="dxa"/>
            <w:tcBorders>
              <w:top w:val="single" w:color="auto" w:sz="4" w:space="0"/>
              <w:left w:val="nil"/>
              <w:bottom w:val="single" w:color="000000" w:sz="4" w:space="0"/>
              <w:right w:val="single" w:color="000000" w:sz="4" w:space="0"/>
            </w:tcBorders>
            <w:vAlign w:val="center"/>
          </w:tcPr>
          <w:p>
            <w:pPr>
              <w:pStyle w:val="64"/>
              <w:adjustRightInd w:val="0"/>
              <w:snapToGrid w:val="0"/>
              <w:ind w:firstLine="0" w:firstLineChars="0"/>
              <w:jc w:val="left"/>
              <w:rPr>
                <w:rFonts w:ascii="仿宋_GB2312" w:eastAsia="仿宋_GB2312"/>
                <w:sz w:val="24"/>
                <w:szCs w:val="24"/>
              </w:rPr>
            </w:pPr>
            <w:r>
              <w:rPr>
                <w:rFonts w:hint="eastAsia" w:ascii="宋体" w:hAnsi="宋体" w:cs="宋体"/>
                <w:b/>
                <w:bCs/>
                <w:color w:val="000000"/>
                <w:sz w:val="30"/>
                <w:szCs w:val="30"/>
              </w:rPr>
              <w:t>2022年度期刊采购</w:t>
            </w:r>
          </w:p>
        </w:tc>
      </w:tr>
      <w:tr>
        <w:tblPrEx>
          <w:tblCellMar>
            <w:top w:w="0" w:type="dxa"/>
            <w:left w:w="108" w:type="dxa"/>
            <w:bottom w:w="0" w:type="dxa"/>
            <w:right w:w="108" w:type="dxa"/>
          </w:tblCellMar>
        </w:tblPrEx>
        <w:trPr>
          <w:trHeight w:val="7057" w:hRule="atLeast"/>
        </w:trPr>
        <w:tc>
          <w:tcPr>
            <w:tcW w:w="1313" w:type="dxa"/>
            <w:tcBorders>
              <w:top w:val="single" w:color="auto" w:sz="4" w:space="0"/>
              <w:left w:val="single" w:color="000000" w:sz="4" w:space="0"/>
              <w:bottom w:val="single" w:color="000000" w:sz="4" w:space="0"/>
              <w:right w:val="single" w:color="000000" w:sz="4" w:space="0"/>
            </w:tcBorders>
            <w:vAlign w:val="center"/>
          </w:tcPr>
          <w:p>
            <w:pPr>
              <w:spacing w:line="360" w:lineRule="exact"/>
              <w:jc w:val="center"/>
              <w:rPr>
                <w:rFonts w:hAnsi="宋体"/>
                <w:sz w:val="24"/>
                <w:szCs w:val="24"/>
              </w:rPr>
            </w:pPr>
            <w:r>
              <w:rPr>
                <w:rFonts w:hint="eastAsia" w:hAnsi="宋体"/>
                <w:sz w:val="24"/>
                <w:szCs w:val="24"/>
              </w:rPr>
              <w:t>详细技术参数</w:t>
            </w:r>
          </w:p>
          <w:p>
            <w:pPr>
              <w:pStyle w:val="64"/>
              <w:adjustRightInd w:val="0"/>
              <w:snapToGrid w:val="0"/>
              <w:ind w:firstLine="0" w:firstLineChars="0"/>
              <w:jc w:val="left"/>
              <w:rPr>
                <w:sz w:val="24"/>
                <w:szCs w:val="24"/>
              </w:rPr>
            </w:pPr>
            <w:r>
              <w:rPr>
                <w:rFonts w:hint="eastAsia" w:hAnsi="宋体"/>
                <w:sz w:val="24"/>
                <w:szCs w:val="24"/>
              </w:rPr>
              <w:t>（包括：规格、型号、数量、技术要求和售后服务要求等）</w:t>
            </w:r>
          </w:p>
        </w:tc>
        <w:tc>
          <w:tcPr>
            <w:tcW w:w="8996" w:type="dxa"/>
            <w:tcBorders>
              <w:top w:val="single" w:color="auto" w:sz="4" w:space="0"/>
              <w:left w:val="nil"/>
              <w:bottom w:val="single" w:color="000000" w:sz="4" w:space="0"/>
              <w:right w:val="single" w:color="000000" w:sz="4" w:space="0"/>
            </w:tcBorders>
          </w:tcPr>
          <w:p>
            <w:pPr>
              <w:pStyle w:val="70"/>
              <w:snapToGrid w:val="0"/>
              <w:spacing w:line="360" w:lineRule="auto"/>
              <w:ind w:firstLine="480"/>
              <w:rPr>
                <w:rFonts w:hAnsi="宋体"/>
                <w:szCs w:val="24"/>
              </w:rPr>
            </w:pPr>
            <w:r>
              <w:rPr>
                <w:rFonts w:hint="eastAsia" w:hAnsi="宋体"/>
                <w:szCs w:val="24"/>
              </w:rPr>
              <w:t>1、应提供适合学院师生借阅的期刊，以铁道运输专业为主。</w:t>
            </w:r>
          </w:p>
          <w:p>
            <w:pPr>
              <w:pStyle w:val="70"/>
              <w:snapToGrid w:val="0"/>
              <w:spacing w:line="360" w:lineRule="auto"/>
              <w:ind w:firstLine="480"/>
              <w:rPr>
                <w:rFonts w:hAnsi="宋体"/>
                <w:szCs w:val="24"/>
              </w:rPr>
            </w:pPr>
            <w:r>
              <w:rPr>
                <w:rFonts w:hint="eastAsia" w:hAnsi="宋体"/>
                <w:szCs w:val="24"/>
              </w:rPr>
              <w:t>2、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70"/>
              <w:snapToGrid w:val="0"/>
              <w:spacing w:line="360" w:lineRule="auto"/>
              <w:ind w:firstLine="480"/>
              <w:rPr>
                <w:rFonts w:hAnsi="宋体"/>
                <w:szCs w:val="24"/>
              </w:rPr>
            </w:pPr>
            <w:r>
              <w:rPr>
                <w:rFonts w:hint="eastAsia" w:hAnsi="宋体"/>
                <w:szCs w:val="24"/>
              </w:rPr>
              <w:t>3、供应商提供2022年度期刊采购目录，期刊订购在2021年11月30日前完成，订购2022年度出版的期刊。</w:t>
            </w:r>
          </w:p>
          <w:p>
            <w:pPr>
              <w:pStyle w:val="70"/>
              <w:snapToGrid w:val="0"/>
              <w:spacing w:line="360" w:lineRule="auto"/>
              <w:ind w:firstLine="480"/>
              <w:rPr>
                <w:rFonts w:hAnsi="宋体"/>
                <w:szCs w:val="24"/>
              </w:rPr>
            </w:pPr>
            <w:r>
              <w:rPr>
                <w:rFonts w:hint="eastAsia" w:hAnsi="宋体"/>
                <w:szCs w:val="24"/>
              </w:rPr>
              <w:t>4、期刊采购方式以订单定购为主，2021年11月20日前，提供订单目录或网络订购目录并订购，其中有部分专业内部刊物（不属于邮局发行），要求供应商一并采购到位，所有服务均有专人负责跟进。目录经过双方确定期刊种类、数量、订价、总价后，由供应商根据双方确认的实洋开据符合财务制度的正规发票。</w:t>
            </w:r>
          </w:p>
          <w:p>
            <w:pPr>
              <w:pStyle w:val="70"/>
              <w:snapToGrid w:val="0"/>
              <w:spacing w:line="360" w:lineRule="auto"/>
              <w:ind w:firstLine="480"/>
              <w:rPr>
                <w:rFonts w:hAnsi="宋体"/>
                <w:szCs w:val="24"/>
              </w:rPr>
            </w:pPr>
            <w:r>
              <w:rPr>
                <w:rFonts w:hint="eastAsia" w:hAnsi="宋体"/>
                <w:szCs w:val="24"/>
              </w:rPr>
              <w:t>5、供应商所提供的期刊应为正式出版物，并保证来源合法，违者将承担全部法律和经济责任，所提供期刊引起的侵犯版权、宣传非法内容等法律责任和经济责任完全由供应商承担。</w:t>
            </w:r>
          </w:p>
          <w:p>
            <w:pPr>
              <w:pStyle w:val="70"/>
              <w:snapToGrid w:val="0"/>
              <w:spacing w:line="360" w:lineRule="auto"/>
              <w:ind w:firstLine="480"/>
              <w:rPr>
                <w:rFonts w:hAnsi="宋体"/>
                <w:szCs w:val="24"/>
              </w:rPr>
            </w:pPr>
            <w:r>
              <w:rPr>
                <w:rFonts w:hint="eastAsia" w:hAnsi="宋体"/>
                <w:szCs w:val="24"/>
              </w:rPr>
              <w:t>6、期刊品种采购率达到100％，如有特殊问题请在提供订单后一个月内及时反馈并进行协商。</w:t>
            </w:r>
          </w:p>
          <w:p>
            <w:pPr>
              <w:pStyle w:val="70"/>
              <w:snapToGrid w:val="0"/>
              <w:spacing w:line="360" w:lineRule="auto"/>
              <w:ind w:firstLine="480"/>
              <w:rPr>
                <w:rFonts w:hAnsi="宋体"/>
                <w:szCs w:val="24"/>
              </w:rPr>
            </w:pPr>
            <w:r>
              <w:rPr>
                <w:rFonts w:hint="eastAsia" w:hAnsi="宋体"/>
                <w:szCs w:val="24"/>
              </w:rPr>
              <w:t>7、期刊出版后一个月内到刊率要求达到99％以上，如有短缺，应及时补齐。</w:t>
            </w:r>
          </w:p>
          <w:p>
            <w:pPr>
              <w:pStyle w:val="70"/>
              <w:snapToGrid w:val="0"/>
              <w:spacing w:line="360" w:lineRule="auto"/>
              <w:ind w:firstLine="480"/>
              <w:rPr>
                <w:rFonts w:hAnsi="宋体"/>
                <w:szCs w:val="24"/>
              </w:rPr>
            </w:pPr>
            <w:r>
              <w:rPr>
                <w:rFonts w:hint="eastAsia" w:hAnsi="宋体"/>
                <w:szCs w:val="24"/>
              </w:rPr>
              <w:t>8、供应商提供期刊全加工服务，包括有：为每册期刊加盖馆藏章（每册期刊上盖2枚馆藏章，封面和书名页各一枚章，用红色印泥，要求端正、清晰）。埋设防盗磁条：加粘16厘米长可冲消钴基磁条，每册刊一般埋设一根，要求埋设磁条贴近期刊装订缝处，牢固隐蔽不易发现。在完成当年期刊送刊后，完成统一期刊装订工作（按精装过刊装订）。</w:t>
            </w:r>
          </w:p>
          <w:p>
            <w:pPr>
              <w:pStyle w:val="70"/>
              <w:snapToGrid w:val="0"/>
              <w:spacing w:line="360" w:lineRule="auto"/>
              <w:ind w:firstLine="480"/>
              <w:rPr>
                <w:rFonts w:hAnsi="宋体"/>
                <w:szCs w:val="24"/>
              </w:rPr>
            </w:pPr>
            <w:r>
              <w:rPr>
                <w:rFonts w:hint="eastAsia" w:hAnsi="宋体"/>
                <w:szCs w:val="24"/>
              </w:rPr>
              <w:t>9、期刊到馆要及时，在期刊发行后，最迟不能超过一个月，如有些刊因供应渠道的问题，需要推迟到馆的，需要进行说明并经过图书馆阅览室负责人同意。</w:t>
            </w:r>
          </w:p>
          <w:p>
            <w:pPr>
              <w:pStyle w:val="70"/>
              <w:snapToGrid w:val="0"/>
              <w:spacing w:line="360" w:lineRule="auto"/>
              <w:ind w:firstLine="480"/>
              <w:rPr>
                <w:rFonts w:hAnsi="宋体"/>
                <w:szCs w:val="24"/>
              </w:rPr>
            </w:pPr>
            <w:r>
              <w:rPr>
                <w:rFonts w:hint="eastAsia" w:hAnsi="宋体"/>
                <w:szCs w:val="24"/>
              </w:rPr>
              <w:t>10、根据期刊订购目录提供每种的MARC数据注录，注录内容必须包括：国际ISSN号或统一书号、正副题名、丛书名、著者、出版社名称、版次、出版年、价格、装订形式、开本、内容提要、读者对象、适用范围等。供应商要保证提供的MARC格式的数据能在图书馆集成化系统上无障碍使用。</w:t>
            </w:r>
          </w:p>
          <w:p>
            <w:pPr>
              <w:pStyle w:val="70"/>
              <w:snapToGrid w:val="0"/>
              <w:spacing w:line="360" w:lineRule="auto"/>
              <w:ind w:firstLine="480"/>
              <w:rPr>
                <w:rFonts w:hAnsi="宋体"/>
                <w:szCs w:val="24"/>
              </w:rPr>
            </w:pPr>
            <w:r>
              <w:rPr>
                <w:rFonts w:hint="eastAsia" w:hAnsi="宋体"/>
                <w:szCs w:val="24"/>
              </w:rPr>
              <w:t>11、送货</w:t>
            </w:r>
          </w:p>
          <w:p>
            <w:pPr>
              <w:pStyle w:val="70"/>
              <w:snapToGrid w:val="0"/>
              <w:spacing w:line="360" w:lineRule="auto"/>
              <w:ind w:firstLine="480"/>
              <w:rPr>
                <w:rFonts w:hAnsi="宋体"/>
                <w:szCs w:val="24"/>
              </w:rPr>
            </w:pPr>
            <w:r>
              <w:rPr>
                <w:rFonts w:hint="eastAsia" w:hAnsi="宋体"/>
                <w:szCs w:val="24"/>
              </w:rPr>
              <w:t>1）供应商应建立单独数据库，便于供应商及采购人内部查询，如出现供应商数据库与采购人系统签到期刊不相符，以送货单为准，缺刊的在一个月内补齐。</w:t>
            </w:r>
          </w:p>
          <w:p>
            <w:pPr>
              <w:pStyle w:val="70"/>
              <w:snapToGrid w:val="0"/>
              <w:spacing w:line="360" w:lineRule="auto"/>
              <w:ind w:firstLine="480"/>
              <w:rPr>
                <w:rFonts w:hAnsi="宋体"/>
                <w:szCs w:val="24"/>
              </w:rPr>
            </w:pPr>
            <w:r>
              <w:rPr>
                <w:rFonts w:hint="eastAsia" w:hAnsi="宋体"/>
                <w:szCs w:val="24"/>
              </w:rPr>
              <w:t>2）如果期刊送货顺序与出版顺序不一致，供应商应说明且尽快补齐。</w:t>
            </w:r>
          </w:p>
          <w:p>
            <w:pPr>
              <w:pStyle w:val="70"/>
              <w:snapToGrid w:val="0"/>
              <w:spacing w:line="360" w:lineRule="auto"/>
              <w:ind w:firstLine="480"/>
              <w:rPr>
                <w:rFonts w:hAnsi="宋体"/>
                <w:szCs w:val="24"/>
              </w:rPr>
            </w:pPr>
            <w:r>
              <w:rPr>
                <w:rFonts w:hint="eastAsia" w:hAnsi="宋体"/>
                <w:szCs w:val="24"/>
              </w:rPr>
              <w:t>3）供应商就所缺期刊及期数每三个月列一个缺货清单送达图书馆期刊阅览室负责人。</w:t>
            </w:r>
          </w:p>
          <w:p>
            <w:pPr>
              <w:pStyle w:val="70"/>
              <w:snapToGrid w:val="0"/>
              <w:spacing w:line="360" w:lineRule="auto"/>
              <w:ind w:firstLine="480"/>
              <w:rPr>
                <w:rFonts w:hAnsi="宋体"/>
                <w:szCs w:val="24"/>
              </w:rPr>
            </w:pPr>
            <w:r>
              <w:rPr>
                <w:rFonts w:hint="eastAsia" w:hAnsi="宋体"/>
                <w:szCs w:val="24"/>
              </w:rPr>
              <w:t>12、核算</w:t>
            </w:r>
          </w:p>
          <w:p>
            <w:pPr>
              <w:pStyle w:val="70"/>
              <w:snapToGrid w:val="0"/>
              <w:spacing w:line="360" w:lineRule="auto"/>
              <w:ind w:firstLine="480"/>
              <w:rPr>
                <w:rFonts w:hAnsi="宋体"/>
                <w:szCs w:val="24"/>
              </w:rPr>
            </w:pPr>
            <w:r>
              <w:rPr>
                <w:rFonts w:hint="eastAsia" w:hAnsi="宋体"/>
                <w:szCs w:val="24"/>
              </w:rPr>
              <w:t>1）以中文期刊采购明细表的目录作为计算期刊款的依据，以中标商的投标报价核算（以折扣率报价）。</w:t>
            </w:r>
          </w:p>
          <w:p>
            <w:pPr>
              <w:pStyle w:val="70"/>
              <w:snapToGrid w:val="0"/>
              <w:spacing w:line="360" w:lineRule="auto"/>
              <w:ind w:firstLine="480"/>
              <w:rPr>
                <w:rFonts w:hAnsi="宋体"/>
                <w:szCs w:val="24"/>
              </w:rPr>
            </w:pPr>
            <w:r>
              <w:rPr>
                <w:rFonts w:hint="eastAsia" w:hAnsi="宋体"/>
                <w:szCs w:val="24"/>
              </w:rPr>
              <w:t>2）投标报价不能超过中文纸质期刊项目的限价。</w:t>
            </w:r>
          </w:p>
          <w:p>
            <w:pPr>
              <w:spacing w:line="360" w:lineRule="auto"/>
              <w:ind w:firstLine="480" w:firstLineChars="200"/>
              <w:rPr>
                <w:rFonts w:hAnsi="宋体"/>
                <w:sz w:val="24"/>
              </w:rPr>
            </w:pPr>
            <w:r>
              <w:rPr>
                <w:rFonts w:hint="eastAsia" w:ascii="Times New Roman" w:hAnsi="宋体" w:cs="宋体"/>
                <w:sz w:val="24"/>
                <w:szCs w:val="24"/>
              </w:rPr>
              <w:t>3）因出版方原因中途停刊、断刊的，供应商应在2022年期刊配送完成后提供相应目录并退还期刊款。</w:t>
            </w:r>
          </w:p>
        </w:tc>
      </w:tr>
      <w:tr>
        <w:tblPrEx>
          <w:tblCellMar>
            <w:top w:w="0" w:type="dxa"/>
            <w:left w:w="108" w:type="dxa"/>
            <w:bottom w:w="0" w:type="dxa"/>
            <w:right w:w="108" w:type="dxa"/>
          </w:tblCellMar>
        </w:tblPrEx>
        <w:trPr>
          <w:trHeight w:val="1344" w:hRule="atLeast"/>
        </w:trPr>
        <w:tc>
          <w:tcPr>
            <w:tcW w:w="1313" w:type="dxa"/>
            <w:tcBorders>
              <w:top w:val="single" w:color="000000" w:sz="4" w:space="0"/>
              <w:left w:val="single" w:color="000000" w:sz="4" w:space="0"/>
              <w:bottom w:val="single" w:color="000000" w:sz="4" w:space="0"/>
              <w:right w:val="single" w:color="000000" w:sz="4" w:space="0"/>
            </w:tcBorders>
            <w:vAlign w:val="center"/>
          </w:tcPr>
          <w:p>
            <w:pPr>
              <w:pStyle w:val="64"/>
              <w:adjustRightInd w:val="0"/>
              <w:snapToGrid w:val="0"/>
              <w:ind w:firstLine="0" w:firstLineChars="0"/>
              <w:jc w:val="center"/>
              <w:rPr>
                <w:rFonts w:hAnsi="宋体"/>
                <w:sz w:val="24"/>
                <w:szCs w:val="24"/>
              </w:rPr>
            </w:pPr>
            <w:r>
              <w:rPr>
                <w:rFonts w:hint="eastAsia" w:hAnsi="宋体"/>
                <w:sz w:val="24"/>
                <w:szCs w:val="24"/>
              </w:rPr>
              <w:t>验收内容</w:t>
            </w:r>
          </w:p>
          <w:p>
            <w:pPr>
              <w:pStyle w:val="64"/>
              <w:adjustRightInd w:val="0"/>
              <w:snapToGrid w:val="0"/>
              <w:ind w:firstLine="0" w:firstLineChars="0"/>
              <w:jc w:val="center"/>
              <w:rPr>
                <w:rFonts w:hAnsi="宋体"/>
                <w:sz w:val="24"/>
                <w:szCs w:val="24"/>
              </w:rPr>
            </w:pPr>
            <w:r>
              <w:rPr>
                <w:rFonts w:hint="eastAsia" w:hAnsi="宋体"/>
                <w:sz w:val="24"/>
                <w:szCs w:val="24"/>
              </w:rPr>
              <w:t>及标准</w:t>
            </w:r>
          </w:p>
        </w:tc>
        <w:tc>
          <w:tcPr>
            <w:tcW w:w="8996" w:type="dxa"/>
            <w:tcBorders>
              <w:top w:val="single" w:color="000000" w:sz="4" w:space="0"/>
              <w:left w:val="nil"/>
              <w:bottom w:val="single" w:color="000000" w:sz="4" w:space="0"/>
              <w:right w:val="single" w:color="000000" w:sz="4" w:space="0"/>
            </w:tcBorders>
            <w:vAlign w:val="center"/>
          </w:tcPr>
          <w:p>
            <w:pPr>
              <w:pStyle w:val="70"/>
              <w:snapToGrid w:val="0"/>
              <w:spacing w:line="360" w:lineRule="auto"/>
              <w:ind w:firstLine="480"/>
              <w:rPr>
                <w:rFonts w:hAnsi="宋体"/>
                <w:szCs w:val="24"/>
              </w:rPr>
            </w:pPr>
            <w:r>
              <w:rPr>
                <w:rFonts w:hint="eastAsia" w:hAnsi="宋体"/>
                <w:szCs w:val="24"/>
              </w:rPr>
              <w:t>1、乙方在合同签订生效之日起</w:t>
            </w:r>
            <w:r>
              <w:rPr>
                <w:rFonts w:hint="eastAsia" w:hAnsi="宋体"/>
                <w:szCs w:val="24"/>
                <w:u w:val="single"/>
              </w:rPr>
              <w:t xml:space="preserve"> 30 </w:t>
            </w:r>
            <w:r>
              <w:rPr>
                <w:rFonts w:hint="eastAsia" w:hAnsi="宋体"/>
                <w:szCs w:val="24"/>
              </w:rPr>
              <w:t>天内交货到甲方指定地点，随即在</w:t>
            </w:r>
            <w:r>
              <w:rPr>
                <w:rFonts w:hint="eastAsia" w:hAnsi="宋体"/>
                <w:szCs w:val="24"/>
                <w:u w:val="single"/>
              </w:rPr>
              <w:t>2</w:t>
            </w:r>
            <w:r>
              <w:rPr>
                <w:rFonts w:hint="eastAsia" w:hAnsi="宋体"/>
                <w:szCs w:val="24"/>
              </w:rPr>
              <w:t>日内全部完成上架、数据导入数据库验收合格交付使用。交货时</w:t>
            </w:r>
            <w:r>
              <w:rPr>
                <w:rFonts w:hint="eastAsia"/>
              </w:rPr>
              <w:t>须按每批次每包编号，相同分类号打包，每包的清单内容要与实际的期刊名称、单价、版次相符</w:t>
            </w:r>
            <w:r>
              <w:rPr>
                <w:rFonts w:hint="eastAsia" w:hAnsi="宋体"/>
                <w:szCs w:val="24"/>
              </w:rPr>
              <w:t>。交货验收时须提供产品质检部门从同类产品中抽样检查合格的检测报告。</w:t>
            </w:r>
          </w:p>
          <w:p>
            <w:pPr>
              <w:pStyle w:val="70"/>
              <w:snapToGrid w:val="0"/>
              <w:spacing w:line="360" w:lineRule="auto"/>
              <w:ind w:firstLine="480"/>
              <w:rPr>
                <w:rFonts w:hAnsi="宋体"/>
                <w:szCs w:val="24"/>
              </w:rPr>
            </w:pPr>
            <w:r>
              <w:rPr>
                <w:rFonts w:hint="eastAsia" w:hAnsi="宋体"/>
                <w:szCs w:val="24"/>
              </w:rPr>
              <w:t>2、验收由甲方组织，乙方配合进行：</w:t>
            </w:r>
          </w:p>
          <w:p>
            <w:pPr>
              <w:pStyle w:val="70"/>
              <w:snapToGrid w:val="0"/>
              <w:spacing w:line="360" w:lineRule="auto"/>
              <w:ind w:firstLine="480"/>
              <w:rPr>
                <w:rFonts w:hAnsi="宋体"/>
                <w:szCs w:val="24"/>
              </w:rPr>
            </w:pPr>
            <w:r>
              <w:rPr>
                <w:rFonts w:hint="eastAsia" w:hAnsi="宋体"/>
                <w:szCs w:val="24"/>
              </w:rPr>
              <w:t>（1）货物在乙方通知配送完毕后</w:t>
            </w:r>
            <w:r>
              <w:rPr>
                <w:rFonts w:hint="eastAsia" w:hAnsi="宋体"/>
                <w:szCs w:val="24"/>
                <w:u w:val="single"/>
              </w:rPr>
              <w:t>7</w:t>
            </w:r>
            <w:r>
              <w:rPr>
                <w:rFonts w:hint="eastAsia" w:hAnsi="宋体"/>
                <w:szCs w:val="24"/>
              </w:rPr>
              <w:t>日内验收。</w:t>
            </w:r>
          </w:p>
          <w:p>
            <w:pPr>
              <w:pStyle w:val="70"/>
              <w:snapToGrid w:val="0"/>
              <w:spacing w:line="360" w:lineRule="auto"/>
              <w:ind w:firstLine="480"/>
              <w:rPr>
                <w:rFonts w:ascii="Verdana" w:hAnsi="Verdana"/>
                <w:color w:val="000000"/>
                <w:szCs w:val="24"/>
              </w:rPr>
            </w:pPr>
            <w:r>
              <w:rPr>
                <w:rFonts w:hint="eastAsia" w:hAnsi="宋体"/>
                <w:szCs w:val="24"/>
              </w:rPr>
              <w:t>（2）</w:t>
            </w:r>
            <w:r>
              <w:rPr>
                <w:rFonts w:hint="eastAsia" w:ascii="Verdana" w:hAnsi="Verdana"/>
                <w:color w:val="000000"/>
                <w:szCs w:val="24"/>
              </w:rPr>
              <w:t>期刊到馆验收要求完好无损，如在运送过程中有破损、遗失等情况，应由中标公司负责退换或赔偿。</w:t>
            </w:r>
          </w:p>
          <w:p>
            <w:pPr>
              <w:pStyle w:val="70"/>
              <w:snapToGrid w:val="0"/>
              <w:spacing w:line="360" w:lineRule="auto"/>
              <w:ind w:firstLine="480"/>
              <w:rPr>
                <w:rFonts w:ascii="Verdana" w:hAnsi="Verdana"/>
                <w:color w:val="000000"/>
                <w:szCs w:val="24"/>
              </w:rPr>
            </w:pPr>
            <w:r>
              <w:rPr>
                <w:rFonts w:hint="eastAsia" w:ascii="Verdana" w:hAnsi="Verdana"/>
                <w:color w:val="000000"/>
                <w:szCs w:val="24"/>
              </w:rPr>
              <w:t>（</w:t>
            </w:r>
            <w:r>
              <w:rPr>
                <w:rFonts w:hint="eastAsia" w:ascii="宋体" w:hAnsi="宋体"/>
                <w:color w:val="000000"/>
                <w:szCs w:val="24"/>
              </w:rPr>
              <w:t>3）</w:t>
            </w:r>
            <w:r>
              <w:rPr>
                <w:rFonts w:hint="eastAsia" w:ascii="Verdana" w:hAnsi="Verdana"/>
                <w:color w:val="000000"/>
                <w:szCs w:val="24"/>
              </w:rPr>
              <w:t>期刊出现装订、印刷等质量问题和损坏时，供应商应无条件退换。</w:t>
            </w:r>
          </w:p>
          <w:p>
            <w:pPr>
              <w:pStyle w:val="70"/>
              <w:snapToGrid w:val="0"/>
              <w:spacing w:line="360" w:lineRule="auto"/>
              <w:ind w:firstLine="480"/>
              <w:rPr>
                <w:rFonts w:hAnsi="宋体"/>
                <w:szCs w:val="24"/>
              </w:rPr>
            </w:pPr>
            <w:r>
              <w:rPr>
                <w:rFonts w:hint="eastAsia" w:hAnsi="宋体"/>
                <w:szCs w:val="24"/>
              </w:rPr>
              <w:t>（4） 验收标准：按国家有关规定以及甲方招标文件的质量要求和技术指标、乙方的投标文件及承诺与合同约定标准进行验收；甲乙双方如对质量要求和技术指标的约定标准有相互抵触或异议的事项，由甲方按质量要求和技术指标比较优胜的原则确定该项的约定标准进行验收。</w:t>
            </w:r>
          </w:p>
          <w:p>
            <w:pPr>
              <w:pStyle w:val="70"/>
              <w:snapToGrid w:val="0"/>
              <w:spacing w:line="360" w:lineRule="auto"/>
              <w:ind w:firstLine="480"/>
              <w:rPr>
                <w:rFonts w:hAnsi="宋体"/>
                <w:szCs w:val="24"/>
              </w:rPr>
            </w:pPr>
            <w:r>
              <w:rPr>
                <w:rFonts w:hint="eastAsia" w:hAnsi="宋体"/>
                <w:szCs w:val="24"/>
              </w:rPr>
              <w:t>（5）验收时如发现所交付的期刊与甲方所提供的期刊采购目录不符、有缺章少页、次品、损坏或其它不符合标准及本文件规定之情形者，甲方应做出详尽的现场记录，或由甲乙双方签署备忘录，此现场记录或备忘录可用作补充、缺失和更换损坏期刊的有效证据，由此产生的时间延误与有关费用由乙方承担，验收期限相应顺延。</w:t>
            </w:r>
          </w:p>
          <w:p>
            <w:pPr>
              <w:pStyle w:val="70"/>
              <w:snapToGrid w:val="0"/>
              <w:spacing w:line="360" w:lineRule="auto"/>
              <w:ind w:firstLine="480"/>
              <w:rPr>
                <w:rFonts w:hAnsi="宋体"/>
                <w:szCs w:val="24"/>
              </w:rPr>
            </w:pPr>
            <w:r>
              <w:rPr>
                <w:rFonts w:hint="eastAsia" w:hAnsi="宋体"/>
                <w:szCs w:val="24"/>
              </w:rPr>
              <w:t>（6）如质量验收合格，双方签署质量验收报告。</w:t>
            </w:r>
          </w:p>
          <w:p>
            <w:pPr>
              <w:pStyle w:val="70"/>
              <w:snapToGrid w:val="0"/>
              <w:spacing w:line="360" w:lineRule="auto"/>
              <w:ind w:firstLine="480"/>
              <w:rPr>
                <w:rFonts w:hAnsi="宋体"/>
                <w:szCs w:val="24"/>
              </w:rPr>
            </w:pPr>
            <w:r>
              <w:rPr>
                <w:rFonts w:hint="eastAsia" w:hAnsi="宋体"/>
                <w:szCs w:val="24"/>
              </w:rPr>
              <w:t>3、货物配送完成后</w:t>
            </w:r>
            <w:r>
              <w:rPr>
                <w:rFonts w:hint="eastAsia" w:hAnsi="宋体"/>
                <w:szCs w:val="24"/>
                <w:u w:val="single"/>
              </w:rPr>
              <w:t>7</w:t>
            </w:r>
            <w:r>
              <w:rPr>
                <w:rFonts w:hint="eastAsia" w:hAnsi="宋体"/>
                <w:szCs w:val="24"/>
              </w:rPr>
              <w:t>日内，甲方无故不进行验收工作并已使用货物的，视同已安装调试完成并验收合格。</w:t>
            </w:r>
          </w:p>
          <w:p>
            <w:pPr>
              <w:pStyle w:val="70"/>
              <w:snapToGrid w:val="0"/>
              <w:spacing w:line="360" w:lineRule="auto"/>
              <w:ind w:firstLine="480"/>
              <w:rPr>
                <w:rFonts w:hAnsi="宋体"/>
                <w:szCs w:val="24"/>
              </w:rPr>
            </w:pPr>
            <w:r>
              <w:rPr>
                <w:rFonts w:hint="eastAsia" w:hAnsi="宋体"/>
                <w:szCs w:val="24"/>
              </w:rPr>
              <w:t>4、其它未尽事宜应按照《四川省政府采购项目需求论证和履约验收管理办法》（川财采（2015）32号）的要求进行。</w:t>
            </w:r>
          </w:p>
        </w:tc>
      </w:tr>
      <w:bookmarkEnd w:id="97"/>
    </w:tbl>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pStyle w:val="4"/>
        <w:snapToGrid w:val="0"/>
        <w:spacing w:before="0" w:after="0" w:line="240" w:lineRule="auto"/>
        <w:jc w:val="both"/>
        <w:rPr>
          <w:rFonts w:hint="eastAsia" w:hAnsi="宋体"/>
          <w:sz w:val="32"/>
          <w:szCs w:val="32"/>
        </w:rPr>
      </w:pPr>
    </w:p>
    <w:p>
      <w:pPr>
        <w:rPr>
          <w:rFonts w:hint="eastAsia" w:hAnsi="宋体"/>
          <w:sz w:val="32"/>
          <w:szCs w:val="32"/>
        </w:rPr>
      </w:pPr>
      <w:r>
        <w:rPr>
          <w:rFonts w:hint="eastAsia" w:hAnsi="宋体"/>
          <w:sz w:val="32"/>
          <w:szCs w:val="32"/>
        </w:rPr>
        <w:br w:type="page"/>
      </w:r>
    </w:p>
    <w:p>
      <w:pPr>
        <w:pStyle w:val="4"/>
        <w:snapToGrid w:val="0"/>
        <w:spacing w:before="0" w:after="0" w:line="240" w:lineRule="auto"/>
        <w:ind w:firstLine="2891" w:firstLineChars="900"/>
        <w:jc w:val="both"/>
        <w:rPr>
          <w:rFonts w:hint="eastAsia" w:hAnsi="宋体"/>
          <w:sz w:val="32"/>
          <w:szCs w:val="32"/>
        </w:rPr>
      </w:pPr>
    </w:p>
    <w:p>
      <w:pPr>
        <w:pStyle w:val="4"/>
        <w:snapToGrid w:val="0"/>
        <w:spacing w:before="0" w:after="0" w:line="240" w:lineRule="auto"/>
        <w:ind w:firstLine="2891" w:firstLineChars="900"/>
        <w:jc w:val="both"/>
        <w:rPr>
          <w:rFonts w:hAnsi="宋体"/>
          <w:sz w:val="32"/>
          <w:szCs w:val="32"/>
        </w:rPr>
      </w:pPr>
      <w:r>
        <w:rPr>
          <w:rFonts w:hint="eastAsia" w:hAnsi="宋体"/>
          <w:sz w:val="32"/>
          <w:szCs w:val="32"/>
        </w:rPr>
        <w:t>第五章</w:t>
      </w:r>
      <w:r>
        <w:rPr>
          <w:rFonts w:hAnsi="宋体"/>
          <w:sz w:val="32"/>
          <w:szCs w:val="32"/>
        </w:rPr>
        <w:t xml:space="preserve">  </w:t>
      </w:r>
      <w:r>
        <w:rPr>
          <w:rFonts w:hint="eastAsia" w:hAnsi="宋体"/>
          <w:sz w:val="32"/>
          <w:szCs w:val="32"/>
        </w:rPr>
        <w:t>评标办法</w:t>
      </w:r>
    </w:p>
    <w:p>
      <w:pPr>
        <w:adjustRightInd w:val="0"/>
        <w:snapToGrid w:val="0"/>
        <w:spacing w:line="360" w:lineRule="auto"/>
        <w:ind w:firstLine="481" w:firstLineChars="188"/>
        <w:jc w:val="left"/>
        <w:rPr>
          <w:rFonts w:hAnsi="宋体"/>
          <w:spacing w:val="8"/>
          <w:sz w:val="24"/>
          <w:szCs w:val="24"/>
        </w:rPr>
      </w:pPr>
    </w:p>
    <w:p>
      <w:pPr>
        <w:adjustRightInd w:val="0"/>
        <w:snapToGrid w:val="0"/>
        <w:spacing w:line="360" w:lineRule="auto"/>
        <w:ind w:firstLine="480" w:firstLineChars="200"/>
        <w:jc w:val="left"/>
        <w:rPr>
          <w:rFonts w:hAnsi="宋体"/>
          <w:color w:val="000000"/>
          <w:sz w:val="24"/>
        </w:rPr>
      </w:pPr>
      <w:r>
        <w:rPr>
          <w:rFonts w:hint="eastAsia" w:hAnsi="宋体"/>
          <w:color w:val="000000"/>
          <w:sz w:val="24"/>
        </w:rPr>
        <w:t>一、评标办法</w:t>
      </w:r>
    </w:p>
    <w:p>
      <w:pPr>
        <w:adjustRightInd w:val="0"/>
        <w:snapToGrid w:val="0"/>
        <w:spacing w:line="360" w:lineRule="auto"/>
        <w:ind w:left="480"/>
        <w:jc w:val="left"/>
        <w:rPr>
          <w:rFonts w:hAnsi="宋体"/>
          <w:color w:val="000000"/>
          <w:sz w:val="24"/>
        </w:rPr>
      </w:pPr>
      <w:r>
        <w:rPr>
          <w:rFonts w:hint="eastAsia" w:hAnsi="宋体"/>
          <w:color w:val="000000"/>
          <w:sz w:val="24"/>
        </w:rPr>
        <w:t>本次评标采用综合评标法。</w:t>
      </w:r>
      <w:r>
        <w:rPr>
          <w:rFonts w:hAnsi="宋体"/>
          <w:color w:val="000000"/>
          <w:sz w:val="24"/>
        </w:rPr>
        <w:t xml:space="preserve"> </w:t>
      </w:r>
    </w:p>
    <w:p>
      <w:pPr>
        <w:adjustRightInd w:val="0"/>
        <w:snapToGrid w:val="0"/>
        <w:spacing w:line="360" w:lineRule="auto"/>
        <w:ind w:firstLine="451" w:firstLineChars="188"/>
        <w:jc w:val="left"/>
        <w:rPr>
          <w:rFonts w:hAnsi="宋体"/>
          <w:color w:val="000000"/>
          <w:sz w:val="24"/>
        </w:rPr>
      </w:pPr>
      <w:r>
        <w:rPr>
          <w:rFonts w:hint="eastAsia" w:hAnsi="宋体"/>
          <w:color w:val="000000"/>
          <w:sz w:val="24"/>
        </w:rPr>
        <w:t>二、评分办法说明</w:t>
      </w:r>
      <w:r>
        <w:rPr>
          <w:rFonts w:hAnsi="宋体"/>
          <w:color w:val="000000"/>
          <w:sz w:val="24"/>
        </w:rPr>
        <w:t xml:space="preserve"> </w:t>
      </w:r>
    </w:p>
    <w:p>
      <w:pPr>
        <w:adjustRightInd w:val="0"/>
        <w:snapToGrid w:val="0"/>
        <w:spacing w:line="360" w:lineRule="auto"/>
        <w:ind w:firstLine="451" w:firstLineChars="188"/>
        <w:jc w:val="left"/>
        <w:rPr>
          <w:rFonts w:hAnsi="宋体"/>
          <w:color w:val="000000"/>
          <w:sz w:val="24"/>
        </w:rPr>
      </w:pPr>
      <w:r>
        <w:rPr>
          <w:rFonts w:hint="eastAsia" w:hAnsi="宋体"/>
          <w:color w:val="000000"/>
          <w:sz w:val="24"/>
        </w:rPr>
        <w:t>对各投标文件进行详细评审打分，满分为</w:t>
      </w:r>
      <w:r>
        <w:rPr>
          <w:rFonts w:hAnsi="宋体"/>
          <w:color w:val="000000"/>
          <w:sz w:val="24"/>
        </w:rPr>
        <w:t xml:space="preserve"> 100 </w:t>
      </w:r>
      <w:r>
        <w:rPr>
          <w:rFonts w:hint="eastAsia" w:hAnsi="宋体"/>
          <w:color w:val="000000"/>
          <w:sz w:val="24"/>
        </w:rPr>
        <w:t>分。招标主要考评因素包括投标报价（30</w:t>
      </w:r>
      <w:r>
        <w:rPr>
          <w:rFonts w:hAnsi="宋体"/>
          <w:color w:val="000000"/>
          <w:sz w:val="24"/>
        </w:rPr>
        <w:t>%</w:t>
      </w:r>
      <w:r>
        <w:rPr>
          <w:rFonts w:hint="eastAsia" w:hAnsi="宋体"/>
          <w:color w:val="000000"/>
          <w:sz w:val="24"/>
        </w:rPr>
        <w:t>）、技术性能（40</w:t>
      </w:r>
      <w:r>
        <w:rPr>
          <w:rFonts w:hAnsi="宋体"/>
          <w:color w:val="000000"/>
          <w:sz w:val="24"/>
        </w:rPr>
        <w:t>%</w:t>
      </w:r>
      <w:r>
        <w:rPr>
          <w:rFonts w:hint="eastAsia" w:hAnsi="宋体"/>
          <w:color w:val="000000"/>
          <w:sz w:val="24"/>
        </w:rPr>
        <w:t>）和综合商务部分（30</w:t>
      </w:r>
      <w:r>
        <w:rPr>
          <w:rFonts w:hAnsi="宋体"/>
          <w:color w:val="000000"/>
          <w:sz w:val="24"/>
        </w:rPr>
        <w:t>%</w:t>
      </w:r>
      <w:r>
        <w:rPr>
          <w:rFonts w:hint="eastAsia" w:hAnsi="宋体"/>
          <w:color w:val="000000"/>
          <w:sz w:val="24"/>
        </w:rPr>
        <w:t>）三个方面，各投标人三方面的所有评价指标得分之和为该投标人的综合得分。</w:t>
      </w:r>
    </w:p>
    <w:p>
      <w:pPr>
        <w:adjustRightInd w:val="0"/>
        <w:snapToGrid w:val="0"/>
        <w:spacing w:line="360" w:lineRule="auto"/>
        <w:ind w:firstLine="451" w:firstLineChars="188"/>
        <w:jc w:val="left"/>
        <w:rPr>
          <w:rFonts w:hAnsi="宋体"/>
          <w:color w:val="000000"/>
          <w:sz w:val="24"/>
        </w:rPr>
      </w:pPr>
      <w:r>
        <w:rPr>
          <w:rFonts w:hint="eastAsia" w:hAnsi="宋体"/>
          <w:color w:val="000000"/>
          <w:sz w:val="24"/>
        </w:rPr>
        <w:t>详细评分标准如下表：</w:t>
      </w:r>
      <w:r>
        <w:rPr>
          <w:rFonts w:hAnsi="宋体"/>
          <w:color w:val="000000"/>
          <w:sz w:val="24"/>
        </w:rPr>
        <w:t xml:space="preserve"> </w:t>
      </w:r>
    </w:p>
    <w:tbl>
      <w:tblPr>
        <w:tblStyle w:val="21"/>
        <w:tblW w:w="10386" w:type="dxa"/>
        <w:tblCellSpacing w:w="0"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3"/>
        <w:gridCol w:w="10"/>
        <w:gridCol w:w="19"/>
        <w:gridCol w:w="1245"/>
        <w:gridCol w:w="245"/>
        <w:gridCol w:w="24"/>
        <w:gridCol w:w="19"/>
        <w:gridCol w:w="732"/>
        <w:gridCol w:w="273"/>
        <w:gridCol w:w="14"/>
        <w:gridCol w:w="28"/>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70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评价因素</w:t>
            </w:r>
          </w:p>
        </w:tc>
        <w:tc>
          <w:tcPr>
            <w:tcW w:w="10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权重</w:t>
            </w:r>
          </w:p>
          <w:p>
            <w:pPr>
              <w:adjustRightInd w:val="0"/>
              <w:snapToGrid w:val="0"/>
              <w:spacing w:line="360" w:lineRule="auto"/>
              <w:rPr>
                <w:rFonts w:hAnsi="宋体" w:cs="宋体"/>
                <w:bCs/>
                <w:spacing w:val="8"/>
                <w:sz w:val="24"/>
              </w:rPr>
            </w:pPr>
            <w:r>
              <w:rPr>
                <w:rFonts w:hint="eastAsia" w:hAnsi="宋体" w:cs="宋体"/>
                <w:bCs/>
                <w:spacing w:val="8"/>
                <w:sz w:val="24"/>
              </w:rPr>
              <w:t>（满分）</w:t>
            </w:r>
          </w:p>
        </w:tc>
        <w:tc>
          <w:tcPr>
            <w:tcW w:w="741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1" w:firstLineChars="188"/>
              <w:jc w:val="center"/>
              <w:rPr>
                <w:rFonts w:hAnsi="宋体" w:cs="宋体"/>
                <w:bCs/>
                <w:spacing w:val="8"/>
                <w:sz w:val="24"/>
              </w:rPr>
            </w:pPr>
            <w:r>
              <w:rPr>
                <w:rFonts w:hint="eastAsia" w:hAnsi="宋体" w:cs="宋体"/>
                <w:bCs/>
                <w:spacing w:val="8"/>
                <w:sz w:val="24"/>
              </w:rPr>
              <w:t>评分原则说明</w:t>
            </w:r>
          </w:p>
        </w:tc>
      </w:tr>
      <w:bookmarkEnd w:id="41"/>
      <w:bookmark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0386" w:type="dxa"/>
            <w:gridSpan w:val="12"/>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一</w:t>
            </w:r>
            <w:r>
              <w:rPr>
                <w:rFonts w:hAnsi="宋体" w:cs="宋体"/>
                <w:bCs/>
                <w:spacing w:val="8"/>
                <w:sz w:val="24"/>
                <w:szCs w:val="24"/>
              </w:rPr>
              <w:t xml:space="preserve"> 、投标报价（满分 </w:t>
            </w:r>
            <w:r>
              <w:rPr>
                <w:rFonts w:hint="eastAsia" w:hAnsi="宋体" w:cs="宋体"/>
                <w:bCs/>
                <w:spacing w:val="8"/>
                <w:sz w:val="24"/>
                <w:szCs w:val="24"/>
              </w:rPr>
              <w:t>3</w:t>
            </w:r>
            <w:r>
              <w:rPr>
                <w:rFonts w:hAnsi="宋体" w:cs="宋体"/>
                <w:bCs/>
                <w:spacing w:val="8"/>
                <w:sz w:val="24"/>
                <w:szCs w:val="24"/>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73" w:type="dxa"/>
            <w:tcBorders>
              <w:right w:val="single" w:color="auto" w:sz="4" w:space="0"/>
            </w:tcBorders>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1</w:t>
            </w:r>
          </w:p>
        </w:tc>
        <w:tc>
          <w:tcPr>
            <w:tcW w:w="1543" w:type="dxa"/>
            <w:gridSpan w:val="5"/>
            <w:tcBorders>
              <w:left w:val="single" w:color="auto" w:sz="4" w:space="0"/>
              <w:right w:val="single" w:color="auto" w:sz="4" w:space="0"/>
            </w:tcBorders>
            <w:vAlign w:val="center"/>
          </w:tcPr>
          <w:p>
            <w:pPr>
              <w:adjustRightInd w:val="0"/>
              <w:snapToGrid w:val="0"/>
              <w:spacing w:line="360" w:lineRule="auto"/>
              <w:jc w:val="center"/>
              <w:rPr>
                <w:rFonts w:hAnsi="宋体" w:cs="宋体"/>
                <w:bCs/>
                <w:spacing w:val="8"/>
                <w:sz w:val="24"/>
                <w:szCs w:val="24"/>
              </w:rPr>
            </w:pPr>
            <w:r>
              <w:rPr>
                <w:rFonts w:hAnsi="宋体" w:cs="宋体"/>
                <w:bCs/>
                <w:spacing w:val="8"/>
                <w:sz w:val="24"/>
                <w:szCs w:val="24"/>
              </w:rPr>
              <w:t>投标报价</w:t>
            </w:r>
            <w:r>
              <w:rPr>
                <w:rFonts w:hint="eastAsia" w:hAnsi="宋体" w:cs="宋体"/>
                <w:bCs/>
                <w:spacing w:val="8"/>
                <w:sz w:val="24"/>
                <w:szCs w:val="24"/>
              </w:rPr>
              <w:t>、备件价格</w:t>
            </w:r>
          </w:p>
        </w:tc>
        <w:tc>
          <w:tcPr>
            <w:tcW w:w="1038" w:type="dxa"/>
            <w:gridSpan w:val="4"/>
            <w:tcBorders>
              <w:left w:val="single" w:color="auto" w:sz="4" w:space="0"/>
              <w:right w:val="single" w:color="auto" w:sz="4" w:space="0"/>
            </w:tcBorders>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30</w:t>
            </w:r>
          </w:p>
        </w:tc>
        <w:tc>
          <w:tcPr>
            <w:tcW w:w="7132" w:type="dxa"/>
            <w:gridSpan w:val="2"/>
            <w:tcBorders>
              <w:left w:val="single" w:color="auto" w:sz="4" w:space="0"/>
            </w:tcBorders>
            <w:vAlign w:val="center"/>
          </w:tcPr>
          <w:p>
            <w:pPr>
              <w:spacing w:line="360" w:lineRule="auto"/>
              <w:rPr>
                <w:rFonts w:hAnsi="宋体" w:cs="宋体"/>
                <w:bCs/>
                <w:spacing w:val="8"/>
                <w:sz w:val="24"/>
                <w:szCs w:val="24"/>
              </w:rPr>
            </w:pPr>
            <w:r>
              <w:rPr>
                <w:rFonts w:hint="eastAsia" w:hAnsi="宋体" w:cs="宋体"/>
                <w:sz w:val="24"/>
                <w:szCs w:val="24"/>
              </w:rPr>
              <w:t>投标文件中的有效最高折扣率为基准折扣率，投标报价得分</w:t>
            </w:r>
            <w:r>
              <w:rPr>
                <w:rFonts w:hAnsi="宋体" w:cs="宋体"/>
                <w:sz w:val="24"/>
                <w:szCs w:val="24"/>
              </w:rPr>
              <w:t>=</w:t>
            </w:r>
            <w:r>
              <w:rPr>
                <w:rFonts w:hint="eastAsia" w:hAnsi="宋体" w:cs="宋体"/>
                <w:sz w:val="24"/>
                <w:szCs w:val="24"/>
              </w:rPr>
              <w:t>（投标折扣率／基准折扣率）×3</w:t>
            </w:r>
            <w:r>
              <w:rPr>
                <w:rFonts w:hAnsi="宋体" w:cs="宋体"/>
                <w:sz w:val="24"/>
                <w:szCs w:val="24"/>
              </w:rPr>
              <w:t>0</w:t>
            </w:r>
            <w:r>
              <w:rPr>
                <w:rFonts w:hint="eastAsia"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0386" w:type="dxa"/>
            <w:gridSpan w:val="12"/>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二</w:t>
            </w:r>
            <w:r>
              <w:rPr>
                <w:rFonts w:hAnsi="宋体" w:cs="宋体"/>
                <w:bCs/>
                <w:spacing w:val="8"/>
                <w:sz w:val="24"/>
                <w:szCs w:val="24"/>
              </w:rPr>
              <w:t xml:space="preserve">、技术性能（满分 </w:t>
            </w:r>
            <w:r>
              <w:rPr>
                <w:rFonts w:hint="eastAsia" w:hAnsi="宋体" w:cs="宋体"/>
                <w:bCs/>
                <w:spacing w:val="8"/>
                <w:sz w:val="24"/>
                <w:szCs w:val="24"/>
              </w:rPr>
              <w:t>40</w:t>
            </w:r>
            <w:r>
              <w:rPr>
                <w:rFonts w:hAnsi="宋体" w:cs="宋体"/>
                <w:bCs/>
                <w:spacing w:val="8"/>
                <w:sz w:val="24"/>
                <w:szCs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683" w:type="dxa"/>
            <w:gridSpan w:val="2"/>
            <w:tcBorders>
              <w:right w:val="single" w:color="auto" w:sz="4" w:space="0"/>
            </w:tcBorders>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1</w:t>
            </w:r>
          </w:p>
        </w:tc>
        <w:tc>
          <w:tcPr>
            <w:tcW w:w="1552" w:type="dxa"/>
            <w:gridSpan w:val="5"/>
            <w:tcBorders>
              <w:left w:val="single" w:color="auto" w:sz="4" w:space="0"/>
              <w:right w:val="single" w:color="auto" w:sz="4" w:space="0"/>
            </w:tcBorders>
            <w:vAlign w:val="center"/>
          </w:tcPr>
          <w:p>
            <w:pPr>
              <w:adjustRightInd w:val="0"/>
              <w:snapToGrid w:val="0"/>
              <w:spacing w:line="360" w:lineRule="auto"/>
              <w:jc w:val="center"/>
              <w:rPr>
                <w:rFonts w:hAnsi="宋体" w:cs="宋体"/>
                <w:bCs/>
                <w:spacing w:val="8"/>
                <w:sz w:val="24"/>
                <w:szCs w:val="24"/>
              </w:rPr>
            </w:pPr>
            <w:r>
              <w:rPr>
                <w:rFonts w:hAnsi="宋体" w:cs="宋体"/>
                <w:bCs/>
                <w:spacing w:val="8"/>
                <w:sz w:val="24"/>
                <w:szCs w:val="24"/>
              </w:rPr>
              <w:t>技术性能</w:t>
            </w:r>
            <w:r>
              <w:rPr>
                <w:rFonts w:hint="eastAsia" w:hAnsi="宋体" w:cs="宋体"/>
                <w:bCs/>
                <w:spacing w:val="8"/>
                <w:sz w:val="24"/>
                <w:szCs w:val="24"/>
              </w:rPr>
              <w:t>、维修、运行</w:t>
            </w:r>
          </w:p>
        </w:tc>
        <w:tc>
          <w:tcPr>
            <w:tcW w:w="1047" w:type="dxa"/>
            <w:gridSpan w:val="4"/>
            <w:tcBorders>
              <w:left w:val="single" w:color="auto" w:sz="4" w:space="0"/>
              <w:right w:val="single" w:color="auto" w:sz="4" w:space="0"/>
            </w:tcBorders>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40</w:t>
            </w:r>
          </w:p>
        </w:tc>
        <w:tc>
          <w:tcPr>
            <w:tcW w:w="7104" w:type="dxa"/>
            <w:tcBorders>
              <w:left w:val="single" w:color="auto" w:sz="4" w:space="0"/>
            </w:tcBorders>
            <w:vAlign w:val="center"/>
          </w:tcPr>
          <w:p>
            <w:pPr>
              <w:pStyle w:val="55"/>
              <w:numPr>
                <w:ilvl w:val="0"/>
                <w:numId w:val="6"/>
              </w:numPr>
              <w:adjustRightInd w:val="0"/>
              <w:snapToGrid w:val="0"/>
              <w:spacing w:line="360" w:lineRule="auto"/>
              <w:ind w:firstLineChars="0"/>
              <w:rPr>
                <w:rFonts w:ascii="Verdana" w:hAnsi="Verdana" w:cs="宋体"/>
                <w:color w:val="000000"/>
                <w:sz w:val="24"/>
                <w:szCs w:val="24"/>
              </w:rPr>
            </w:pPr>
            <w:r>
              <w:rPr>
                <w:rFonts w:ascii="Verdana" w:hAnsi="Verdana" w:cs="宋体"/>
                <w:color w:val="000000"/>
                <w:sz w:val="24"/>
                <w:szCs w:val="24"/>
              </w:rPr>
              <w:t>采访及编目数据</w:t>
            </w:r>
            <w:r>
              <w:rPr>
                <w:rFonts w:hint="eastAsia" w:ascii="Verdana" w:hAnsi="Verdana" w:cs="宋体"/>
                <w:color w:val="000000"/>
                <w:sz w:val="24"/>
                <w:szCs w:val="24"/>
              </w:rPr>
              <w:t>（</w:t>
            </w:r>
            <w:r>
              <w:rPr>
                <w:rFonts w:hint="eastAsia" w:ascii="宋体" w:hAnsi="宋体" w:cs="宋体"/>
                <w:color w:val="000000"/>
                <w:sz w:val="24"/>
                <w:szCs w:val="24"/>
              </w:rPr>
              <w:t>6</w:t>
            </w:r>
            <w:r>
              <w:rPr>
                <w:rFonts w:hint="eastAsia" w:ascii="Verdana" w:hAnsi="Verdana" w:cs="宋体"/>
                <w:color w:val="000000"/>
                <w:sz w:val="24"/>
                <w:szCs w:val="24"/>
              </w:rPr>
              <w:t>分）：</w:t>
            </w:r>
          </w:p>
          <w:p>
            <w:pPr>
              <w:adjustRightInd w:val="0"/>
              <w:snapToGrid w:val="0"/>
              <w:spacing w:line="360" w:lineRule="auto"/>
              <w:rPr>
                <w:rFonts w:ascii="Verdana" w:hAnsi="Verdana" w:cs="宋体"/>
                <w:color w:val="000000"/>
                <w:sz w:val="24"/>
                <w:szCs w:val="24"/>
              </w:rPr>
            </w:pPr>
            <w:r>
              <w:rPr>
                <w:rFonts w:ascii="Verdana" w:hAnsi="Verdana" w:cs="宋体"/>
                <w:color w:val="000000"/>
                <w:sz w:val="24"/>
                <w:szCs w:val="24"/>
              </w:rPr>
              <w:t>全面及时提供纸质版和电子版期刊采访目录，得</w:t>
            </w:r>
            <w:r>
              <w:rPr>
                <w:rFonts w:hint="eastAsia" w:hAnsi="宋体" w:cs="宋体"/>
                <w:color w:val="000000"/>
                <w:sz w:val="24"/>
                <w:szCs w:val="24"/>
              </w:rPr>
              <w:t>3</w:t>
            </w:r>
            <w:r>
              <w:rPr>
                <w:rFonts w:ascii="Verdana" w:hAnsi="Verdana" w:cs="宋体"/>
                <w:color w:val="000000"/>
                <w:sz w:val="24"/>
                <w:szCs w:val="24"/>
              </w:rPr>
              <w:t>分；提供适合馆藏的完整期刊编目</w:t>
            </w:r>
            <w:r>
              <w:rPr>
                <w:rFonts w:hAnsi="宋体" w:cs="宋体"/>
                <w:color w:val="000000"/>
                <w:sz w:val="24"/>
                <w:szCs w:val="24"/>
              </w:rPr>
              <w:t>MARC数据，（附MARC</w:t>
            </w:r>
            <w:r>
              <w:rPr>
                <w:rFonts w:ascii="Verdana" w:hAnsi="Verdana" w:cs="宋体"/>
                <w:color w:val="000000"/>
                <w:sz w:val="24"/>
                <w:szCs w:val="24"/>
              </w:rPr>
              <w:t>详细加工样式）完</w:t>
            </w:r>
            <w:r>
              <w:rPr>
                <w:rFonts w:hint="eastAsia" w:ascii="Verdana" w:hAnsi="Verdana" w:cs="宋体"/>
                <w:color w:val="000000"/>
                <w:sz w:val="24"/>
                <w:szCs w:val="24"/>
              </w:rPr>
              <w:t>全</w:t>
            </w:r>
            <w:r>
              <w:rPr>
                <w:rFonts w:ascii="Verdana" w:hAnsi="Verdana" w:cs="宋体"/>
                <w:color w:val="000000"/>
                <w:sz w:val="24"/>
                <w:szCs w:val="24"/>
              </w:rPr>
              <w:t>符合得</w:t>
            </w:r>
            <w:r>
              <w:rPr>
                <w:rFonts w:hint="eastAsia" w:hAnsi="宋体" w:cs="宋体"/>
                <w:color w:val="000000"/>
                <w:sz w:val="24"/>
                <w:szCs w:val="24"/>
              </w:rPr>
              <w:t>3</w:t>
            </w:r>
            <w:r>
              <w:rPr>
                <w:rFonts w:ascii="Verdana" w:hAnsi="Verdana" w:cs="宋体"/>
                <w:color w:val="000000"/>
                <w:sz w:val="24"/>
                <w:szCs w:val="24"/>
              </w:rPr>
              <w:t>分。</w:t>
            </w:r>
          </w:p>
          <w:p>
            <w:pPr>
              <w:pStyle w:val="55"/>
              <w:numPr>
                <w:ilvl w:val="0"/>
                <w:numId w:val="6"/>
              </w:numPr>
              <w:adjustRightInd w:val="0"/>
              <w:snapToGrid w:val="0"/>
              <w:spacing w:line="360" w:lineRule="auto"/>
              <w:ind w:firstLineChars="0"/>
              <w:rPr>
                <w:rFonts w:hAnsi="宋体" w:cs="宋体"/>
                <w:bCs/>
                <w:spacing w:val="8"/>
                <w:sz w:val="24"/>
                <w:szCs w:val="24"/>
              </w:rPr>
            </w:pPr>
            <w:r>
              <w:rPr>
                <w:rFonts w:hint="eastAsia" w:hAnsi="宋体" w:cs="宋体"/>
                <w:sz w:val="24"/>
                <w:szCs w:val="24"/>
              </w:rPr>
              <w:t>送货承诺（5分）：</w:t>
            </w:r>
          </w:p>
          <w:p>
            <w:pPr>
              <w:adjustRightInd w:val="0"/>
              <w:snapToGrid w:val="0"/>
              <w:spacing w:line="360" w:lineRule="auto"/>
              <w:rPr>
                <w:rFonts w:hAnsi="宋体" w:cs="宋体"/>
                <w:bCs/>
                <w:spacing w:val="8"/>
                <w:sz w:val="24"/>
                <w:szCs w:val="24"/>
              </w:rPr>
            </w:pPr>
            <w:r>
              <w:rPr>
                <w:rFonts w:ascii="Verdana" w:hAnsi="Verdana" w:cs="宋体"/>
                <w:color w:val="000000"/>
                <w:sz w:val="24"/>
                <w:szCs w:val="24"/>
              </w:rPr>
              <w:t>投标人承诺提供送货到馆服务得</w:t>
            </w:r>
            <w:r>
              <w:rPr>
                <w:rFonts w:hAnsi="宋体" w:cs="宋体"/>
                <w:color w:val="000000"/>
                <w:sz w:val="24"/>
                <w:szCs w:val="24"/>
              </w:rPr>
              <w:t>3</w:t>
            </w:r>
            <w:r>
              <w:rPr>
                <w:rFonts w:ascii="Verdana" w:hAnsi="Verdana" w:cs="宋体"/>
                <w:color w:val="000000"/>
                <w:sz w:val="24"/>
                <w:szCs w:val="24"/>
              </w:rPr>
              <w:t>分；每周至少一次得</w:t>
            </w:r>
            <w:r>
              <w:rPr>
                <w:rFonts w:hAnsi="宋体" w:cs="宋体"/>
                <w:color w:val="000000"/>
                <w:sz w:val="24"/>
                <w:szCs w:val="24"/>
              </w:rPr>
              <w:t>2</w:t>
            </w:r>
            <w:r>
              <w:rPr>
                <w:rFonts w:ascii="Verdana" w:hAnsi="Verdana" w:cs="宋体"/>
                <w:color w:val="000000"/>
                <w:sz w:val="24"/>
                <w:szCs w:val="24"/>
              </w:rPr>
              <w:t>分。</w:t>
            </w:r>
          </w:p>
          <w:p>
            <w:pPr>
              <w:pStyle w:val="55"/>
              <w:numPr>
                <w:ilvl w:val="0"/>
                <w:numId w:val="6"/>
              </w:numPr>
              <w:adjustRightInd w:val="0"/>
              <w:snapToGrid w:val="0"/>
              <w:spacing w:line="360" w:lineRule="auto"/>
              <w:ind w:firstLineChars="0"/>
              <w:rPr>
                <w:rFonts w:hAnsi="宋体" w:cs="宋体"/>
                <w:bCs/>
                <w:spacing w:val="8"/>
                <w:sz w:val="24"/>
                <w:szCs w:val="24"/>
              </w:rPr>
            </w:pPr>
            <w:r>
              <w:rPr>
                <w:rFonts w:hint="eastAsia" w:hAnsi="宋体"/>
                <w:sz w:val="24"/>
                <w:szCs w:val="24"/>
              </w:rPr>
              <w:t>清单（3分</w:t>
            </w:r>
            <w:r>
              <w:rPr>
                <w:rFonts w:hAnsi="宋体"/>
                <w:sz w:val="24"/>
                <w:szCs w:val="24"/>
              </w:rPr>
              <w:t>）</w:t>
            </w:r>
            <w:r>
              <w:rPr>
                <w:rFonts w:hint="eastAsia" w:hAnsi="宋体"/>
                <w:sz w:val="24"/>
                <w:szCs w:val="24"/>
              </w:rPr>
              <w:t>：</w:t>
            </w:r>
          </w:p>
          <w:p>
            <w:pPr>
              <w:adjustRightInd w:val="0"/>
              <w:snapToGrid w:val="0"/>
              <w:spacing w:line="360" w:lineRule="auto"/>
              <w:rPr>
                <w:rFonts w:hAnsi="宋体" w:cs="宋体"/>
                <w:bCs/>
                <w:spacing w:val="8"/>
                <w:sz w:val="24"/>
                <w:szCs w:val="24"/>
              </w:rPr>
            </w:pPr>
            <w:r>
              <w:rPr>
                <w:rFonts w:ascii="Verdana" w:hAnsi="Verdana" w:cs="宋体"/>
                <w:color w:val="000000"/>
                <w:sz w:val="24"/>
                <w:szCs w:val="24"/>
              </w:rPr>
              <w:t>详尽（含总清单和包清单）得</w:t>
            </w:r>
            <w:r>
              <w:rPr>
                <w:rFonts w:hint="eastAsia" w:hAnsi="宋体" w:cs="宋体"/>
                <w:color w:val="000000"/>
                <w:sz w:val="24"/>
                <w:szCs w:val="24"/>
              </w:rPr>
              <w:t>3</w:t>
            </w:r>
            <w:r>
              <w:rPr>
                <w:rFonts w:ascii="Verdana" w:hAnsi="Verdana" w:cs="宋体"/>
                <w:color w:val="000000"/>
                <w:sz w:val="24"/>
                <w:szCs w:val="24"/>
              </w:rPr>
              <w:t>分，不提供得</w:t>
            </w:r>
            <w:r>
              <w:rPr>
                <w:rFonts w:hAnsi="宋体" w:cs="宋体"/>
                <w:color w:val="000000"/>
                <w:sz w:val="24"/>
                <w:szCs w:val="24"/>
              </w:rPr>
              <w:t>0</w:t>
            </w:r>
            <w:r>
              <w:rPr>
                <w:rFonts w:ascii="Verdana" w:hAnsi="Verdana" w:cs="宋体"/>
                <w:color w:val="000000"/>
                <w:sz w:val="24"/>
                <w:szCs w:val="24"/>
              </w:rPr>
              <w:t>分。</w:t>
            </w:r>
          </w:p>
          <w:p>
            <w:pPr>
              <w:pStyle w:val="55"/>
              <w:numPr>
                <w:ilvl w:val="0"/>
                <w:numId w:val="6"/>
              </w:numPr>
              <w:adjustRightInd w:val="0"/>
              <w:snapToGrid w:val="0"/>
              <w:spacing w:line="360" w:lineRule="auto"/>
              <w:ind w:firstLineChars="0"/>
              <w:rPr>
                <w:rFonts w:ascii="Verdana" w:hAnsi="Verdana" w:cs="宋体"/>
                <w:color w:val="000000"/>
                <w:sz w:val="24"/>
                <w:szCs w:val="24"/>
              </w:rPr>
            </w:pPr>
            <w:r>
              <w:rPr>
                <w:rFonts w:hint="eastAsia" w:ascii="Verdana" w:hAnsi="Verdana" w:cs="宋体"/>
                <w:color w:val="000000"/>
                <w:sz w:val="24"/>
                <w:szCs w:val="24"/>
              </w:rPr>
              <w:t>查询网站（3分）：</w:t>
            </w:r>
          </w:p>
          <w:p>
            <w:pPr>
              <w:adjustRightInd w:val="0"/>
              <w:snapToGrid w:val="0"/>
              <w:spacing w:line="360" w:lineRule="auto"/>
              <w:rPr>
                <w:rFonts w:ascii="Verdana" w:hAnsi="Verdana" w:cs="宋体"/>
                <w:color w:val="000000"/>
                <w:sz w:val="24"/>
                <w:szCs w:val="24"/>
              </w:rPr>
            </w:pPr>
            <w:r>
              <w:rPr>
                <w:rFonts w:ascii="Verdana" w:hAnsi="Verdana" w:cs="宋体"/>
                <w:color w:val="000000"/>
                <w:sz w:val="24"/>
                <w:szCs w:val="24"/>
              </w:rPr>
              <w:t>具有可查询发货信息等功能的商务网站得</w:t>
            </w:r>
            <w:r>
              <w:rPr>
                <w:rFonts w:hint="eastAsia" w:ascii="Verdana" w:hAnsi="Verdana" w:cs="宋体"/>
                <w:color w:val="000000"/>
                <w:sz w:val="24"/>
                <w:szCs w:val="24"/>
              </w:rPr>
              <w:t>3</w:t>
            </w:r>
            <w:r>
              <w:rPr>
                <w:rFonts w:ascii="Verdana" w:hAnsi="Verdana" w:cs="宋体"/>
                <w:color w:val="000000"/>
                <w:sz w:val="24"/>
                <w:szCs w:val="24"/>
              </w:rPr>
              <w:t>分，提供网站</w:t>
            </w:r>
            <w:r>
              <w:rPr>
                <w:rFonts w:hint="eastAsia" w:ascii="Verdana" w:hAnsi="Verdana" w:cs="宋体"/>
                <w:color w:val="000000"/>
                <w:sz w:val="24"/>
                <w:szCs w:val="24"/>
              </w:rPr>
              <w:t>截图</w:t>
            </w:r>
            <w:r>
              <w:rPr>
                <w:rFonts w:ascii="Verdana" w:hAnsi="Verdana" w:cs="宋体"/>
                <w:color w:val="000000"/>
                <w:sz w:val="24"/>
                <w:szCs w:val="24"/>
              </w:rPr>
              <w:t>，没有不得分。</w:t>
            </w:r>
          </w:p>
          <w:p>
            <w:pPr>
              <w:pStyle w:val="55"/>
              <w:numPr>
                <w:ilvl w:val="0"/>
                <w:numId w:val="6"/>
              </w:numPr>
              <w:adjustRightInd w:val="0"/>
              <w:snapToGrid w:val="0"/>
              <w:spacing w:line="360" w:lineRule="auto"/>
              <w:ind w:firstLineChars="0"/>
              <w:rPr>
                <w:rFonts w:hAnsi="宋体" w:cs="宋体"/>
                <w:bCs/>
                <w:spacing w:val="8"/>
                <w:sz w:val="24"/>
                <w:szCs w:val="24"/>
              </w:rPr>
            </w:pPr>
            <w:r>
              <w:rPr>
                <w:rFonts w:hint="eastAsia" w:hAnsi="宋体"/>
                <w:sz w:val="24"/>
                <w:szCs w:val="24"/>
              </w:rPr>
              <w:t>到刊率（5分）：</w:t>
            </w:r>
          </w:p>
          <w:p>
            <w:pPr>
              <w:adjustRightInd w:val="0"/>
              <w:snapToGrid w:val="0"/>
              <w:spacing w:line="360" w:lineRule="auto"/>
              <w:rPr>
                <w:rFonts w:hAnsi="宋体" w:cs="宋体"/>
                <w:bCs/>
                <w:spacing w:val="8"/>
                <w:sz w:val="24"/>
                <w:szCs w:val="24"/>
              </w:rPr>
            </w:pPr>
            <w:r>
              <w:rPr>
                <w:rFonts w:ascii="Verdana" w:hAnsi="Verdana" w:cs="宋体"/>
                <w:color w:val="000000"/>
                <w:sz w:val="24"/>
                <w:szCs w:val="24"/>
              </w:rPr>
              <w:t>提供五家上年度合作单位到刊率，到货全达到</w:t>
            </w:r>
            <w:r>
              <w:rPr>
                <w:rFonts w:hAnsi="宋体" w:cs="宋体"/>
                <w:color w:val="000000"/>
                <w:sz w:val="24"/>
                <w:szCs w:val="24"/>
              </w:rPr>
              <w:t>99%</w:t>
            </w:r>
            <w:r>
              <w:rPr>
                <w:rFonts w:ascii="Verdana" w:hAnsi="Verdana" w:cs="宋体"/>
                <w:color w:val="000000"/>
                <w:sz w:val="24"/>
                <w:szCs w:val="24"/>
              </w:rPr>
              <w:t>及以上得</w:t>
            </w:r>
            <w:r>
              <w:rPr>
                <w:rFonts w:hAnsi="宋体" w:cs="宋体"/>
                <w:color w:val="000000"/>
                <w:sz w:val="24"/>
                <w:szCs w:val="24"/>
              </w:rPr>
              <w:t>5</w:t>
            </w:r>
            <w:r>
              <w:rPr>
                <w:rFonts w:ascii="Verdana" w:hAnsi="Verdana" w:cs="宋体"/>
                <w:color w:val="000000"/>
                <w:sz w:val="24"/>
                <w:szCs w:val="24"/>
              </w:rPr>
              <w:t>分，其余不得分。</w:t>
            </w:r>
          </w:p>
          <w:p>
            <w:pPr>
              <w:pStyle w:val="55"/>
              <w:numPr>
                <w:ilvl w:val="0"/>
                <w:numId w:val="6"/>
              </w:numPr>
              <w:adjustRightInd w:val="0"/>
              <w:snapToGrid w:val="0"/>
              <w:spacing w:line="360" w:lineRule="auto"/>
              <w:ind w:firstLineChars="0"/>
              <w:rPr>
                <w:rFonts w:hAnsi="宋体" w:cs="宋体"/>
                <w:bCs/>
                <w:spacing w:val="8"/>
                <w:sz w:val="24"/>
                <w:szCs w:val="24"/>
              </w:rPr>
            </w:pPr>
            <w:r>
              <w:rPr>
                <w:rFonts w:ascii="Verdana" w:hAnsi="Verdana" w:cs="宋体"/>
                <w:color w:val="000000"/>
                <w:sz w:val="24"/>
                <w:szCs w:val="24"/>
              </w:rPr>
              <w:t>催缺工作</w:t>
            </w:r>
            <w:r>
              <w:rPr>
                <w:rFonts w:hint="eastAsia" w:ascii="Verdana" w:hAnsi="Verdana" w:cs="宋体"/>
                <w:color w:val="000000"/>
                <w:sz w:val="24"/>
                <w:szCs w:val="24"/>
              </w:rPr>
              <w:t>（</w:t>
            </w:r>
            <w:r>
              <w:rPr>
                <w:rFonts w:hint="eastAsia" w:ascii="宋体" w:hAnsi="宋体" w:cs="宋体"/>
                <w:color w:val="000000"/>
                <w:sz w:val="24"/>
                <w:szCs w:val="24"/>
              </w:rPr>
              <w:t>6</w:t>
            </w:r>
            <w:r>
              <w:rPr>
                <w:rFonts w:hint="eastAsia" w:ascii="Verdana" w:hAnsi="Verdana" w:cs="宋体"/>
                <w:color w:val="000000"/>
                <w:sz w:val="24"/>
                <w:szCs w:val="24"/>
              </w:rPr>
              <w:t>分）：</w:t>
            </w:r>
          </w:p>
          <w:p>
            <w:pPr>
              <w:adjustRightInd w:val="0"/>
              <w:snapToGrid w:val="0"/>
              <w:spacing w:line="360" w:lineRule="auto"/>
              <w:rPr>
                <w:rFonts w:hAnsi="宋体" w:cs="宋体"/>
                <w:bCs/>
                <w:spacing w:val="8"/>
                <w:sz w:val="24"/>
                <w:szCs w:val="24"/>
              </w:rPr>
            </w:pPr>
            <w:r>
              <w:rPr>
                <w:rFonts w:ascii="Verdana" w:hAnsi="Verdana" w:cs="宋体"/>
                <w:color w:val="000000"/>
                <w:sz w:val="24"/>
                <w:szCs w:val="24"/>
              </w:rPr>
              <w:t>有详细的查缺安排计划，按照查缺安排计划打分，每少一项扣</w:t>
            </w:r>
            <w:r>
              <w:rPr>
                <w:rFonts w:hAnsi="宋体" w:cs="宋体"/>
                <w:color w:val="000000"/>
                <w:sz w:val="24"/>
                <w:szCs w:val="24"/>
              </w:rPr>
              <w:t>2</w:t>
            </w:r>
            <w:r>
              <w:rPr>
                <w:rFonts w:ascii="Verdana" w:hAnsi="Verdana" w:cs="宋体"/>
                <w:color w:val="000000"/>
                <w:sz w:val="24"/>
                <w:szCs w:val="24"/>
              </w:rPr>
              <w:t>分，扣完为止。</w:t>
            </w:r>
          </w:p>
          <w:p>
            <w:pPr>
              <w:pStyle w:val="55"/>
              <w:numPr>
                <w:ilvl w:val="0"/>
                <w:numId w:val="6"/>
              </w:numPr>
              <w:adjustRightInd w:val="0"/>
              <w:snapToGrid w:val="0"/>
              <w:spacing w:line="360" w:lineRule="auto"/>
              <w:ind w:firstLineChars="0"/>
              <w:rPr>
                <w:rFonts w:ascii="宋体" w:hAnsi="宋体" w:cs="宋体"/>
                <w:bCs/>
                <w:spacing w:val="8"/>
                <w:sz w:val="24"/>
                <w:szCs w:val="24"/>
              </w:rPr>
            </w:pPr>
            <w:r>
              <w:rPr>
                <w:rFonts w:ascii="宋体" w:hAnsi="宋体" w:cs="宋体"/>
                <w:color w:val="000000"/>
                <w:sz w:val="24"/>
                <w:szCs w:val="24"/>
              </w:rPr>
              <w:t>投标文件规范性</w:t>
            </w:r>
            <w:r>
              <w:rPr>
                <w:rFonts w:hint="eastAsia" w:ascii="宋体" w:hAnsi="宋体" w:cs="宋体"/>
                <w:color w:val="000000"/>
                <w:sz w:val="24"/>
                <w:szCs w:val="24"/>
              </w:rPr>
              <w:t>（2分）：</w:t>
            </w:r>
          </w:p>
          <w:p>
            <w:pPr>
              <w:adjustRightInd w:val="0"/>
              <w:snapToGrid w:val="0"/>
              <w:spacing w:line="360" w:lineRule="auto"/>
              <w:rPr>
                <w:rFonts w:hAnsi="宋体" w:cs="宋体"/>
                <w:bCs/>
                <w:spacing w:val="8"/>
                <w:sz w:val="24"/>
                <w:szCs w:val="24"/>
              </w:rPr>
            </w:pPr>
            <w:r>
              <w:rPr>
                <w:rFonts w:hAnsi="宋体" w:cs="宋体"/>
                <w:color w:val="000000"/>
                <w:sz w:val="24"/>
                <w:szCs w:val="24"/>
              </w:rPr>
              <w:t>评标委员会对供应商所提供的投标文件的编制情况进行比较，最高可为2分，可并列，一般得1分，差的为0分。</w:t>
            </w:r>
          </w:p>
          <w:p>
            <w:pPr>
              <w:pStyle w:val="55"/>
              <w:numPr>
                <w:ilvl w:val="0"/>
                <w:numId w:val="6"/>
              </w:numPr>
              <w:adjustRightInd w:val="0"/>
              <w:snapToGrid w:val="0"/>
              <w:spacing w:line="360" w:lineRule="auto"/>
              <w:ind w:firstLineChars="0"/>
              <w:rPr>
                <w:rFonts w:hAnsi="宋体" w:cs="宋体"/>
                <w:bCs/>
                <w:spacing w:val="8"/>
                <w:sz w:val="24"/>
                <w:szCs w:val="24"/>
              </w:rPr>
            </w:pPr>
            <w:r>
              <w:rPr>
                <w:rFonts w:hint="eastAsia" w:ascii="宋体" w:hAnsi="宋体" w:cs="宋体"/>
                <w:bCs/>
                <w:spacing w:val="8"/>
                <w:sz w:val="24"/>
                <w:szCs w:val="24"/>
              </w:rPr>
              <w:t>期刊加工及装订（10分）</w:t>
            </w:r>
            <w:r>
              <w:rPr>
                <w:rFonts w:hint="eastAsia" w:hAnsi="宋体" w:cs="宋体"/>
                <w:bCs/>
                <w:spacing w:val="8"/>
                <w:sz w:val="24"/>
                <w:szCs w:val="24"/>
              </w:rPr>
              <w:t>：</w:t>
            </w:r>
          </w:p>
          <w:p>
            <w:pPr>
              <w:adjustRightInd w:val="0"/>
              <w:snapToGrid w:val="0"/>
              <w:spacing w:line="360" w:lineRule="auto"/>
              <w:rPr>
                <w:rFonts w:hAnsi="宋体" w:cs="宋体"/>
                <w:bCs/>
                <w:spacing w:val="8"/>
                <w:sz w:val="24"/>
                <w:szCs w:val="24"/>
              </w:rPr>
            </w:pPr>
            <w:r>
              <w:rPr>
                <w:rFonts w:hint="eastAsia" w:hAnsi="宋体" w:cs="宋体"/>
                <w:bCs/>
                <w:spacing w:val="8"/>
                <w:sz w:val="24"/>
                <w:szCs w:val="24"/>
              </w:rPr>
              <w:t>产品质量及验收完全符合招标项目技术相关要求得</w:t>
            </w:r>
            <w:r>
              <w:rPr>
                <w:rFonts w:hAnsi="宋体" w:cs="宋体"/>
                <w:bCs/>
                <w:spacing w:val="8"/>
                <w:sz w:val="24"/>
                <w:szCs w:val="24"/>
              </w:rPr>
              <w:t xml:space="preserve"> </w:t>
            </w:r>
            <w:r>
              <w:rPr>
                <w:rFonts w:hint="eastAsia" w:hAnsi="宋体" w:cs="宋体"/>
                <w:bCs/>
                <w:spacing w:val="8"/>
                <w:sz w:val="24"/>
                <w:szCs w:val="24"/>
              </w:rPr>
              <w:t>5-10</w:t>
            </w:r>
            <w:r>
              <w:rPr>
                <w:rFonts w:hAnsi="宋体" w:cs="宋体"/>
                <w:bCs/>
                <w:spacing w:val="8"/>
                <w:sz w:val="24"/>
                <w:szCs w:val="24"/>
              </w:rPr>
              <w:t xml:space="preserve"> 分；</w:t>
            </w:r>
            <w:r>
              <w:rPr>
                <w:rFonts w:hint="eastAsia" w:hAnsi="宋体" w:cs="宋体"/>
                <w:bCs/>
                <w:spacing w:val="8"/>
                <w:sz w:val="24"/>
                <w:szCs w:val="24"/>
              </w:rPr>
              <w:t>产品质量及验收基本符合招标项目技术相关要求</w:t>
            </w:r>
            <w:r>
              <w:rPr>
                <w:rFonts w:hAnsi="宋体" w:cs="宋体"/>
                <w:bCs/>
                <w:spacing w:val="8"/>
                <w:sz w:val="24"/>
                <w:szCs w:val="24"/>
              </w:rPr>
              <w:t>得</w:t>
            </w:r>
            <w:r>
              <w:rPr>
                <w:rFonts w:hint="eastAsia" w:hAnsi="宋体" w:cs="宋体"/>
                <w:bCs/>
                <w:spacing w:val="8"/>
                <w:sz w:val="24"/>
                <w:szCs w:val="24"/>
              </w:rPr>
              <w:t>0-5</w:t>
            </w:r>
            <w:r>
              <w:rPr>
                <w:rFonts w:hAnsi="宋体" w:cs="宋体"/>
                <w:bCs/>
                <w:spacing w:val="8"/>
                <w:sz w:val="24"/>
                <w:szCs w:val="24"/>
              </w:rPr>
              <w:t xml:space="preserve"> 分；</w:t>
            </w:r>
            <w:r>
              <w:rPr>
                <w:rFonts w:hint="eastAsia" w:hAnsi="宋体" w:cs="宋体"/>
                <w:bCs/>
                <w:spacing w:val="8"/>
                <w:sz w:val="24"/>
                <w:szCs w:val="24"/>
              </w:rPr>
              <w:t>产品质量及验收某方面不能符合招标项目技术相关要求</w:t>
            </w:r>
            <w:r>
              <w:rPr>
                <w:rFonts w:hAnsi="宋体" w:cs="宋体"/>
                <w:bCs/>
                <w:spacing w:val="8"/>
                <w:sz w:val="24"/>
                <w:szCs w:val="24"/>
              </w:rPr>
              <w:t xml:space="preserve">得 </w:t>
            </w:r>
            <w:r>
              <w:rPr>
                <w:rFonts w:hint="eastAsia" w:hAnsi="宋体" w:cs="宋体"/>
                <w:bCs/>
                <w:spacing w:val="8"/>
                <w:sz w:val="24"/>
                <w:szCs w:val="24"/>
              </w:rPr>
              <w:t>0</w:t>
            </w:r>
            <w:r>
              <w:rPr>
                <w:rFonts w:hAnsi="宋体" w:cs="宋体"/>
                <w:bCs/>
                <w:spacing w:val="8"/>
                <w:sz w:val="24"/>
                <w:szCs w:val="24"/>
              </w:rPr>
              <w:t xml:space="preserve"> 分。</w:t>
            </w:r>
            <w:r>
              <w:rPr>
                <w:rFonts w:hint="eastAsia" w:hAnsi="宋体" w:cs="宋体"/>
                <w:bCs/>
                <w:spacing w:val="8"/>
                <w:sz w:val="24"/>
                <w:szCs w:val="24"/>
              </w:rPr>
              <w:t>主要</w:t>
            </w:r>
            <w:r>
              <w:rPr>
                <w:rFonts w:hAnsi="宋体" w:cs="宋体"/>
                <w:bCs/>
                <w:spacing w:val="8"/>
                <w:sz w:val="24"/>
                <w:szCs w:val="24"/>
              </w:rPr>
              <w:t>技术性能</w:t>
            </w:r>
            <w:r>
              <w:rPr>
                <w:rFonts w:hint="eastAsia" w:hAnsi="宋体" w:cs="宋体"/>
                <w:bCs/>
                <w:spacing w:val="8"/>
                <w:sz w:val="24"/>
                <w:szCs w:val="24"/>
              </w:rPr>
              <w:t>见第四章“招标项目技术、商务及其他要求”</w:t>
            </w:r>
            <w:r>
              <w:rPr>
                <w:rFonts w:hAnsi="宋体" w:cs="宋体"/>
                <w:bCs/>
                <w:spacing w:val="8"/>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10386" w:type="dxa"/>
            <w:gridSpan w:val="12"/>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三</w:t>
            </w:r>
            <w:r>
              <w:rPr>
                <w:rFonts w:hAnsi="宋体" w:cs="宋体"/>
                <w:bCs/>
                <w:spacing w:val="8"/>
                <w:sz w:val="24"/>
                <w:szCs w:val="24"/>
              </w:rPr>
              <w:t xml:space="preserve">、商务部分（满分 </w:t>
            </w:r>
            <w:r>
              <w:rPr>
                <w:rFonts w:hint="eastAsia" w:hAnsi="宋体" w:cs="宋体"/>
                <w:bCs/>
                <w:spacing w:val="8"/>
                <w:sz w:val="24"/>
                <w:szCs w:val="24"/>
              </w:rPr>
              <w:t>30</w:t>
            </w:r>
            <w:r>
              <w:rPr>
                <w:rFonts w:hAnsi="宋体" w:cs="宋体"/>
                <w:bCs/>
                <w:spacing w:val="8"/>
                <w:sz w:val="24"/>
                <w:szCs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CellSpacing w:w="0" w:type="dxa"/>
        </w:trPr>
        <w:tc>
          <w:tcPr>
            <w:tcW w:w="10386" w:type="dxa"/>
            <w:gridSpan w:val="12"/>
            <w:vAlign w:val="center"/>
          </w:tcPr>
          <w:p>
            <w:pPr>
              <w:adjustRightInd w:val="0"/>
              <w:snapToGrid w:val="0"/>
              <w:spacing w:line="360" w:lineRule="auto"/>
              <w:ind w:firstLine="481" w:firstLineChars="188"/>
              <w:jc w:val="center"/>
              <w:rPr>
                <w:rFonts w:hAnsi="宋体" w:cs="宋体"/>
                <w:bCs/>
                <w:spacing w:val="8"/>
                <w:sz w:val="24"/>
                <w:szCs w:val="24"/>
              </w:rPr>
            </w:pPr>
            <w:r>
              <w:rPr>
                <w:rFonts w:hAnsi="宋体" w:cs="宋体"/>
                <w:bCs/>
                <w:spacing w:val="8"/>
                <w:sz w:val="24"/>
                <w:szCs w:val="24"/>
              </w:rPr>
              <w:t>综合商务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gridSpan w:val="3"/>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1</w:t>
            </w:r>
          </w:p>
        </w:tc>
        <w:tc>
          <w:tcPr>
            <w:tcW w:w="1490" w:type="dxa"/>
            <w:gridSpan w:val="2"/>
            <w:vAlign w:val="center"/>
          </w:tcPr>
          <w:p>
            <w:pPr>
              <w:adjustRightInd w:val="0"/>
              <w:snapToGrid w:val="0"/>
              <w:spacing w:line="360" w:lineRule="auto"/>
              <w:ind w:firstLine="481" w:firstLineChars="188"/>
              <w:rPr>
                <w:rFonts w:hAnsi="宋体" w:cs="宋体"/>
                <w:bCs/>
                <w:spacing w:val="8"/>
                <w:sz w:val="24"/>
                <w:szCs w:val="24"/>
              </w:rPr>
            </w:pPr>
            <w:r>
              <w:rPr>
                <w:rFonts w:hAnsi="宋体" w:cs="宋体"/>
                <w:bCs/>
                <w:spacing w:val="8"/>
                <w:sz w:val="24"/>
                <w:szCs w:val="24"/>
              </w:rPr>
              <w:t>业绩</w:t>
            </w:r>
          </w:p>
        </w:tc>
        <w:tc>
          <w:tcPr>
            <w:tcW w:w="1048" w:type="dxa"/>
            <w:gridSpan w:val="4"/>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7</w:t>
            </w:r>
          </w:p>
        </w:tc>
        <w:tc>
          <w:tcPr>
            <w:tcW w:w="7146" w:type="dxa"/>
            <w:gridSpan w:val="3"/>
            <w:vAlign w:val="center"/>
          </w:tcPr>
          <w:p>
            <w:pPr>
              <w:adjustRightInd w:val="0"/>
              <w:snapToGrid w:val="0"/>
              <w:spacing w:line="360" w:lineRule="auto"/>
              <w:jc w:val="left"/>
              <w:rPr>
                <w:rFonts w:hAnsi="宋体" w:cs="宋体"/>
                <w:bCs/>
                <w:spacing w:val="8"/>
                <w:sz w:val="24"/>
                <w:szCs w:val="24"/>
              </w:rPr>
            </w:pPr>
            <w:r>
              <w:rPr>
                <w:rFonts w:hint="eastAsia" w:hAnsi="宋体" w:cs="宋体"/>
                <w:color w:val="000000"/>
                <w:sz w:val="24"/>
                <w:szCs w:val="24"/>
              </w:rPr>
              <w:t>提供2019年</w:t>
            </w:r>
            <w:r>
              <w:rPr>
                <w:rFonts w:hAnsi="宋体" w:cs="宋体"/>
                <w:color w:val="000000"/>
                <w:sz w:val="24"/>
                <w:szCs w:val="24"/>
              </w:rPr>
              <w:t>以来（含201</w:t>
            </w:r>
            <w:r>
              <w:rPr>
                <w:rFonts w:hint="eastAsia" w:hAnsi="宋体" w:cs="宋体"/>
                <w:color w:val="000000"/>
                <w:sz w:val="24"/>
                <w:szCs w:val="24"/>
              </w:rPr>
              <w:t>9</w:t>
            </w:r>
            <w:r>
              <w:rPr>
                <w:rFonts w:hAnsi="宋体" w:cs="宋体"/>
                <w:color w:val="000000"/>
                <w:sz w:val="24"/>
                <w:szCs w:val="24"/>
              </w:rPr>
              <w:t>年）与类</w:t>
            </w:r>
            <w:r>
              <w:rPr>
                <w:rFonts w:hint="eastAsia" w:hAnsi="宋体" w:cs="宋体"/>
                <w:color w:val="000000"/>
                <w:sz w:val="24"/>
                <w:szCs w:val="24"/>
              </w:rPr>
              <w:t>似</w:t>
            </w:r>
            <w:r>
              <w:rPr>
                <w:rFonts w:hAnsi="宋体" w:cs="宋体"/>
                <w:color w:val="000000"/>
                <w:sz w:val="24"/>
                <w:szCs w:val="24"/>
              </w:rPr>
              <w:t>项目合作单位数量，1</w:t>
            </w:r>
            <w:r>
              <w:rPr>
                <w:rFonts w:hint="eastAsia" w:hAnsi="宋体" w:cs="宋体"/>
                <w:color w:val="000000"/>
                <w:sz w:val="24"/>
                <w:szCs w:val="24"/>
              </w:rPr>
              <w:t>0</w:t>
            </w:r>
            <w:r>
              <w:rPr>
                <w:rFonts w:hAnsi="宋体" w:cs="宋体"/>
                <w:color w:val="000000"/>
                <w:sz w:val="24"/>
                <w:szCs w:val="24"/>
              </w:rPr>
              <w:t>家及以上得</w:t>
            </w:r>
            <w:r>
              <w:rPr>
                <w:rFonts w:hint="eastAsia" w:hAnsi="宋体" w:cs="宋体"/>
                <w:color w:val="000000"/>
                <w:sz w:val="24"/>
                <w:szCs w:val="24"/>
              </w:rPr>
              <w:t>7</w:t>
            </w:r>
            <w:r>
              <w:rPr>
                <w:rFonts w:hAnsi="宋体" w:cs="宋体"/>
                <w:color w:val="000000"/>
                <w:sz w:val="24"/>
                <w:szCs w:val="24"/>
              </w:rPr>
              <w:t>分，，5-9家得</w:t>
            </w:r>
            <w:r>
              <w:rPr>
                <w:rFonts w:hint="eastAsia" w:hAnsi="宋体" w:cs="宋体"/>
                <w:color w:val="000000"/>
                <w:sz w:val="24"/>
                <w:szCs w:val="24"/>
              </w:rPr>
              <w:t>5</w:t>
            </w:r>
            <w:r>
              <w:rPr>
                <w:rFonts w:hAnsi="宋体" w:cs="宋体"/>
                <w:color w:val="000000"/>
                <w:sz w:val="24"/>
                <w:szCs w:val="24"/>
              </w:rPr>
              <w:t>分，1-4家得</w:t>
            </w:r>
            <w:r>
              <w:rPr>
                <w:rFonts w:hint="eastAsia" w:hAnsi="宋体" w:cs="宋体"/>
                <w:color w:val="000000"/>
                <w:sz w:val="24"/>
                <w:szCs w:val="24"/>
              </w:rPr>
              <w:t>2</w:t>
            </w:r>
            <w:r>
              <w:rPr>
                <w:rFonts w:hAnsi="宋体" w:cs="宋体"/>
                <w:color w:val="000000"/>
                <w:sz w:val="24"/>
                <w:szCs w:val="24"/>
              </w:rPr>
              <w:t>分，没有得0分。（相同业主不同年度分别计</w:t>
            </w:r>
            <w:r>
              <w:rPr>
                <w:rFonts w:ascii="Verdana" w:hAnsi="Verdana" w:cs="宋体"/>
                <w:color w:val="000000"/>
                <w:sz w:val="24"/>
                <w:szCs w:val="24"/>
              </w:rPr>
              <w:t>算；须提供合作协议书复印件及合作方联系方式，未提供的不得分）。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tblCellSpacing w:w="0" w:type="dxa"/>
        </w:trPr>
        <w:tc>
          <w:tcPr>
            <w:tcW w:w="702" w:type="dxa"/>
            <w:gridSpan w:val="3"/>
            <w:tcBorders>
              <w:bottom w:val="single" w:color="auto" w:sz="4" w:space="0"/>
            </w:tcBorders>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2</w:t>
            </w:r>
          </w:p>
        </w:tc>
        <w:tc>
          <w:tcPr>
            <w:tcW w:w="1490" w:type="dxa"/>
            <w:gridSpan w:val="2"/>
            <w:tcBorders>
              <w:bottom w:val="single" w:color="auto" w:sz="4" w:space="0"/>
            </w:tcBorders>
            <w:vAlign w:val="center"/>
          </w:tcPr>
          <w:p>
            <w:pPr>
              <w:adjustRightInd w:val="0"/>
              <w:snapToGrid w:val="0"/>
              <w:spacing w:line="360" w:lineRule="auto"/>
              <w:jc w:val="center"/>
              <w:rPr>
                <w:rFonts w:hAnsi="宋体" w:cs="宋体"/>
                <w:bCs/>
                <w:spacing w:val="8"/>
                <w:sz w:val="24"/>
                <w:szCs w:val="24"/>
              </w:rPr>
            </w:pPr>
            <w:r>
              <w:rPr>
                <w:rFonts w:hint="eastAsia" w:hAnsi="宋体"/>
                <w:sz w:val="24"/>
                <w:szCs w:val="24"/>
              </w:rPr>
              <w:t>服务能力</w:t>
            </w:r>
          </w:p>
        </w:tc>
        <w:tc>
          <w:tcPr>
            <w:tcW w:w="1048" w:type="dxa"/>
            <w:gridSpan w:val="4"/>
            <w:tcBorders>
              <w:bottom w:val="single" w:color="auto" w:sz="4" w:space="0"/>
            </w:tcBorders>
            <w:vAlign w:val="center"/>
          </w:tcPr>
          <w:p>
            <w:pPr>
              <w:adjustRightInd w:val="0"/>
              <w:snapToGrid w:val="0"/>
              <w:spacing w:line="360" w:lineRule="auto"/>
              <w:jc w:val="center"/>
              <w:rPr>
                <w:rFonts w:hint="eastAsia" w:hAnsi="宋体" w:eastAsia="宋体" w:cs="宋体"/>
                <w:bCs/>
                <w:spacing w:val="8"/>
                <w:sz w:val="24"/>
                <w:szCs w:val="24"/>
                <w:lang w:val="en-US" w:eastAsia="zh-CN"/>
              </w:rPr>
            </w:pPr>
            <w:r>
              <w:rPr>
                <w:rFonts w:hint="eastAsia" w:hAnsi="宋体" w:cs="宋体"/>
                <w:bCs/>
                <w:spacing w:val="8"/>
                <w:sz w:val="24"/>
                <w:szCs w:val="24"/>
                <w:lang w:val="en-US" w:eastAsia="zh-CN"/>
              </w:rPr>
              <w:t>5</w:t>
            </w:r>
          </w:p>
        </w:tc>
        <w:tc>
          <w:tcPr>
            <w:tcW w:w="7146" w:type="dxa"/>
            <w:gridSpan w:val="3"/>
            <w:tcBorders>
              <w:bottom w:val="single" w:color="auto" w:sz="4" w:space="0"/>
            </w:tcBorders>
            <w:vAlign w:val="center"/>
          </w:tcPr>
          <w:p>
            <w:pPr>
              <w:autoSpaceDE w:val="0"/>
              <w:autoSpaceDN w:val="0"/>
              <w:rPr>
                <w:rFonts w:cs="宋体"/>
                <w:sz w:val="24"/>
                <w:szCs w:val="24"/>
              </w:rPr>
            </w:pPr>
            <w:r>
              <w:rPr>
                <w:rFonts w:hint="eastAsia" w:hAnsi="宋体"/>
                <w:sz w:val="24"/>
                <w:szCs w:val="24"/>
              </w:rPr>
              <w:t>提供至少6名国家图书馆颁发的全国图书馆联合编目中心资格证书的得</w:t>
            </w:r>
            <w:r>
              <w:rPr>
                <w:rFonts w:hint="eastAsia" w:hAnsi="宋体"/>
                <w:sz w:val="24"/>
                <w:szCs w:val="24"/>
                <w:lang w:val="en-US" w:eastAsia="zh-CN"/>
              </w:rPr>
              <w:t>2</w:t>
            </w:r>
            <w:r>
              <w:rPr>
                <w:rFonts w:hint="eastAsia" w:hAnsi="宋体"/>
                <w:sz w:val="24"/>
                <w:szCs w:val="24"/>
              </w:rPr>
              <w:t>分，未提供不得分。此基础上，提供与国家图书馆签订的全国图书馆联合编目中心用户上传及下载协议书的得</w:t>
            </w:r>
            <w:r>
              <w:rPr>
                <w:rFonts w:hint="eastAsia" w:hAnsi="宋体"/>
                <w:sz w:val="24"/>
                <w:szCs w:val="24"/>
                <w:lang w:val="en-US" w:eastAsia="zh-CN"/>
              </w:rPr>
              <w:t>3</w:t>
            </w:r>
            <w:r>
              <w:rPr>
                <w:rFonts w:hint="eastAsia"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tblCellSpacing w:w="0" w:type="dxa"/>
        </w:trPr>
        <w:tc>
          <w:tcPr>
            <w:tcW w:w="702" w:type="dxa"/>
            <w:gridSpan w:val="3"/>
            <w:tcBorders>
              <w:bottom w:val="single" w:color="auto" w:sz="4" w:space="0"/>
            </w:tcBorders>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3</w:t>
            </w:r>
          </w:p>
        </w:tc>
        <w:tc>
          <w:tcPr>
            <w:tcW w:w="1490" w:type="dxa"/>
            <w:gridSpan w:val="2"/>
            <w:tcBorders>
              <w:bottom w:val="single" w:color="auto" w:sz="4" w:space="0"/>
            </w:tcBorders>
            <w:vAlign w:val="center"/>
          </w:tcPr>
          <w:p>
            <w:pPr>
              <w:adjustRightInd w:val="0"/>
              <w:snapToGrid w:val="0"/>
              <w:spacing w:line="360" w:lineRule="auto"/>
              <w:jc w:val="center"/>
              <w:rPr>
                <w:rFonts w:hAnsi="宋体"/>
                <w:sz w:val="24"/>
                <w:szCs w:val="24"/>
              </w:rPr>
            </w:pPr>
            <w:r>
              <w:rPr>
                <w:rFonts w:hint="eastAsia" w:hAnsi="宋体"/>
                <w:sz w:val="24"/>
                <w:szCs w:val="24"/>
              </w:rPr>
              <w:t>服务便利性</w:t>
            </w:r>
          </w:p>
        </w:tc>
        <w:tc>
          <w:tcPr>
            <w:tcW w:w="1048" w:type="dxa"/>
            <w:gridSpan w:val="4"/>
            <w:tcBorders>
              <w:bottom w:val="single" w:color="auto" w:sz="4" w:space="0"/>
            </w:tcBorders>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2</w:t>
            </w:r>
          </w:p>
        </w:tc>
        <w:tc>
          <w:tcPr>
            <w:tcW w:w="7146" w:type="dxa"/>
            <w:gridSpan w:val="3"/>
            <w:tcBorders>
              <w:bottom w:val="single" w:color="auto" w:sz="4" w:space="0"/>
            </w:tcBorders>
            <w:vAlign w:val="center"/>
          </w:tcPr>
          <w:p>
            <w:pPr>
              <w:autoSpaceDE w:val="0"/>
              <w:autoSpaceDN w:val="0"/>
              <w:rPr>
                <w:rFonts w:cs="宋体"/>
                <w:sz w:val="24"/>
                <w:szCs w:val="24"/>
              </w:rPr>
            </w:pPr>
            <w:r>
              <w:rPr>
                <w:rFonts w:hint="eastAsia" w:hAnsi="宋体"/>
                <w:sz w:val="24"/>
              </w:rPr>
              <w:t>投标人在项目所在地具有售后服务机构，经营面积达到300平方米及以上的得5分，无不得分。（提供售后服务机构房权证或场地租凭复印件证明）。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tblCellSpacing w:w="0" w:type="dxa"/>
        </w:trPr>
        <w:tc>
          <w:tcPr>
            <w:tcW w:w="702" w:type="dxa"/>
            <w:gridSpan w:val="3"/>
            <w:tcBorders>
              <w:bottom w:val="single" w:color="auto" w:sz="4" w:space="0"/>
            </w:tcBorders>
            <w:vAlign w:val="center"/>
          </w:tcPr>
          <w:p>
            <w:pPr>
              <w:adjustRightInd w:val="0"/>
              <w:snapToGrid w:val="0"/>
              <w:spacing w:line="360" w:lineRule="auto"/>
              <w:jc w:val="center"/>
              <w:rPr>
                <w:rFonts w:hAnsi="宋体" w:cs="宋体"/>
                <w:bCs/>
                <w:spacing w:val="8"/>
                <w:sz w:val="24"/>
                <w:szCs w:val="24"/>
              </w:rPr>
            </w:pPr>
            <w:r>
              <w:rPr>
                <w:rFonts w:hint="eastAsia" w:hAnsi="宋体" w:cs="宋体"/>
                <w:bCs/>
                <w:spacing w:val="8"/>
                <w:sz w:val="24"/>
                <w:szCs w:val="24"/>
              </w:rPr>
              <w:t>4</w:t>
            </w:r>
          </w:p>
        </w:tc>
        <w:tc>
          <w:tcPr>
            <w:tcW w:w="1490" w:type="dxa"/>
            <w:gridSpan w:val="2"/>
            <w:tcBorders>
              <w:bottom w:val="single" w:color="auto" w:sz="4" w:space="0"/>
            </w:tcBorders>
            <w:vAlign w:val="center"/>
          </w:tcPr>
          <w:p>
            <w:pPr>
              <w:adjustRightInd w:val="0"/>
              <w:snapToGrid w:val="0"/>
              <w:spacing w:line="360" w:lineRule="auto"/>
              <w:jc w:val="center"/>
              <w:rPr>
                <w:rFonts w:hAnsi="宋体"/>
                <w:sz w:val="24"/>
                <w:szCs w:val="24"/>
              </w:rPr>
            </w:pPr>
            <w:r>
              <w:rPr>
                <w:rFonts w:hint="eastAsia" w:hAnsi="宋体"/>
                <w:sz w:val="24"/>
                <w:szCs w:val="24"/>
              </w:rPr>
              <w:t>荣誉</w:t>
            </w:r>
          </w:p>
        </w:tc>
        <w:tc>
          <w:tcPr>
            <w:tcW w:w="1048" w:type="dxa"/>
            <w:gridSpan w:val="4"/>
            <w:tcBorders>
              <w:bottom w:val="single" w:color="auto" w:sz="4" w:space="0"/>
            </w:tcBorders>
            <w:vAlign w:val="center"/>
          </w:tcPr>
          <w:p>
            <w:pPr>
              <w:adjustRightInd w:val="0"/>
              <w:snapToGrid w:val="0"/>
              <w:spacing w:line="360" w:lineRule="auto"/>
              <w:jc w:val="center"/>
              <w:rPr>
                <w:rFonts w:hint="eastAsia" w:hAnsi="宋体" w:eastAsia="宋体" w:cs="宋体"/>
                <w:bCs/>
                <w:spacing w:val="8"/>
                <w:sz w:val="24"/>
                <w:szCs w:val="24"/>
                <w:lang w:val="en-US" w:eastAsia="zh-CN"/>
              </w:rPr>
            </w:pPr>
            <w:r>
              <w:rPr>
                <w:rFonts w:hint="eastAsia" w:hAnsi="宋体" w:cs="宋体"/>
                <w:bCs/>
                <w:spacing w:val="8"/>
                <w:sz w:val="24"/>
                <w:szCs w:val="24"/>
              </w:rPr>
              <w:t>1</w:t>
            </w:r>
            <w:r>
              <w:rPr>
                <w:rFonts w:hint="eastAsia" w:hAnsi="宋体" w:cs="宋体"/>
                <w:bCs/>
                <w:spacing w:val="8"/>
                <w:sz w:val="24"/>
                <w:szCs w:val="24"/>
                <w:lang w:val="en-US" w:eastAsia="zh-CN"/>
              </w:rPr>
              <w:t>6</w:t>
            </w:r>
          </w:p>
        </w:tc>
        <w:tc>
          <w:tcPr>
            <w:tcW w:w="7146" w:type="dxa"/>
            <w:gridSpan w:val="3"/>
            <w:tcBorders>
              <w:bottom w:val="single" w:color="auto" w:sz="4" w:space="0"/>
            </w:tcBorders>
            <w:vAlign w:val="center"/>
          </w:tcPr>
          <w:p>
            <w:pPr>
              <w:numPr>
                <w:ilvl w:val="0"/>
                <w:numId w:val="7"/>
              </w:numPr>
              <w:rPr>
                <w:rFonts w:hAnsi="宋体"/>
                <w:sz w:val="24"/>
                <w:szCs w:val="24"/>
              </w:rPr>
            </w:pPr>
            <w:r>
              <w:rPr>
                <w:rFonts w:hint="eastAsia" w:hAnsi="宋体"/>
                <w:sz w:val="24"/>
                <w:szCs w:val="24"/>
              </w:rPr>
              <w:t>投标人获得</w:t>
            </w:r>
            <w:r>
              <w:rPr>
                <w:rFonts w:hAnsi="宋体"/>
                <w:sz w:val="24"/>
                <w:szCs w:val="24"/>
              </w:rPr>
              <w:t>质量管理体系认证书</w:t>
            </w:r>
            <w:r>
              <w:rPr>
                <w:rFonts w:hint="eastAsia" w:hAnsi="宋体"/>
                <w:sz w:val="24"/>
                <w:szCs w:val="24"/>
              </w:rPr>
              <w:t>得3分，获得信息安全管理体系认证证书的得3分；</w:t>
            </w:r>
          </w:p>
          <w:p>
            <w:pPr>
              <w:numPr>
                <w:ilvl w:val="0"/>
                <w:numId w:val="7"/>
              </w:numPr>
              <w:rPr>
                <w:rFonts w:hAnsi="宋体"/>
                <w:sz w:val="24"/>
                <w:szCs w:val="24"/>
              </w:rPr>
            </w:pPr>
            <w:r>
              <w:rPr>
                <w:rFonts w:hint="eastAsia" w:hAnsi="宋体"/>
                <w:sz w:val="24"/>
                <w:szCs w:val="24"/>
              </w:rPr>
              <w:t>获得全国企业质量监督管理中心颁发的《政府采购优秀供应商》荣誉证书的得3分；</w:t>
            </w:r>
          </w:p>
          <w:p>
            <w:pPr>
              <w:autoSpaceDE w:val="0"/>
              <w:autoSpaceDN w:val="0"/>
              <w:rPr>
                <w:rFonts w:hAnsi="宋体"/>
                <w:sz w:val="24"/>
              </w:rPr>
            </w:pPr>
            <w:r>
              <w:rPr>
                <w:rFonts w:hint="eastAsia" w:hAnsi="宋体"/>
                <w:sz w:val="24"/>
              </w:rPr>
              <w:t>3、投标人提供连续3年被图书馆报评为全国优秀馆配商或综合实力奖的得3分，不提供不得分。</w:t>
            </w:r>
          </w:p>
          <w:p>
            <w:pPr>
              <w:autoSpaceDE w:val="0"/>
              <w:autoSpaceDN w:val="0"/>
              <w:rPr>
                <w:rFonts w:hAnsi="宋体"/>
                <w:sz w:val="24"/>
              </w:rPr>
            </w:pPr>
            <w:r>
              <w:rPr>
                <w:rFonts w:hint="eastAsia" w:hAnsi="宋体"/>
                <w:sz w:val="24"/>
              </w:rPr>
              <w:t>4、投标人获得期刊出版授权书证明200家及以上得4分，150-200家得2分，100-150家得1分，100家以下不得分。</w:t>
            </w: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三</w:t>
      </w:r>
      <w:r>
        <w:rPr>
          <w:rFonts w:hAnsi="宋体" w:cs="宋体"/>
          <w:bCs/>
          <w:spacing w:val="8"/>
          <w:sz w:val="24"/>
          <w:szCs w:val="24"/>
        </w:rPr>
        <w:t xml:space="preserve">、 投标文件的澄清 </w:t>
      </w:r>
    </w:p>
    <w:p>
      <w:r>
        <w:rPr>
          <w:rFonts w:hAnsi="宋体" w:cs="宋体"/>
          <w:bCs/>
          <w:spacing w:val="8"/>
          <w:sz w:val="24"/>
          <w:szCs w:val="24"/>
        </w:rPr>
        <w:t xml:space="preserve">    为了便于评标小组更加全面有效的对所有投标人的投标文件进行审查、评估和比较，评标小组在评标的过程中随时有权向投标人质疑，请投标人澄清其投标内容。投标人有效书面澄清文件将被理解为其投标文件的一部分，但任何澄清均不得改变投标人的实质内容，否则在评标中不予考虑。</w:t>
      </w:r>
    </w:p>
    <w:p>
      <w:pPr>
        <w:rPr>
          <w:rFonts w:hAnsi="宋体" w:cs="宋体"/>
          <w:sz w:val="30"/>
          <w:szCs w:val="30"/>
        </w:rPr>
      </w:pPr>
    </w:p>
    <w:p>
      <w:pPr>
        <w:adjustRightInd w:val="0"/>
        <w:snapToGrid w:val="0"/>
        <w:spacing w:line="360" w:lineRule="auto"/>
        <w:ind w:firstLine="566" w:firstLineChars="188"/>
        <w:jc w:val="center"/>
        <w:rPr>
          <w:rFonts w:hAnsi="宋体" w:cs="宋体"/>
          <w:b/>
          <w:kern w:val="44"/>
          <w:sz w:val="30"/>
          <w:szCs w:val="30"/>
        </w:rPr>
      </w:pPr>
    </w:p>
    <w:p>
      <w:pPr>
        <w:adjustRightInd w:val="0"/>
        <w:snapToGrid w:val="0"/>
        <w:spacing w:line="360" w:lineRule="auto"/>
        <w:ind w:firstLine="566" w:firstLineChars="188"/>
        <w:jc w:val="center"/>
        <w:rPr>
          <w:rFonts w:hAnsi="宋体" w:cs="宋体"/>
          <w:b/>
          <w:kern w:val="44"/>
          <w:sz w:val="30"/>
          <w:szCs w:val="30"/>
        </w:rPr>
      </w:pPr>
    </w:p>
    <w:p>
      <w:pPr>
        <w:adjustRightInd w:val="0"/>
        <w:snapToGrid w:val="0"/>
        <w:spacing w:line="360" w:lineRule="auto"/>
        <w:ind w:firstLine="566" w:firstLineChars="188"/>
        <w:jc w:val="center"/>
        <w:rPr>
          <w:rFonts w:hAnsi="宋体" w:cs="宋体"/>
          <w:b/>
          <w:kern w:val="44"/>
          <w:sz w:val="30"/>
          <w:szCs w:val="30"/>
        </w:rPr>
      </w:pPr>
    </w:p>
    <w:p>
      <w:pPr>
        <w:adjustRightInd w:val="0"/>
        <w:snapToGrid w:val="0"/>
        <w:spacing w:line="360" w:lineRule="auto"/>
        <w:ind w:firstLine="566" w:firstLineChars="188"/>
        <w:jc w:val="center"/>
        <w:rPr>
          <w:rFonts w:hAnsi="宋体" w:cs="宋体"/>
          <w:b/>
          <w:kern w:val="44"/>
          <w:sz w:val="30"/>
          <w:szCs w:val="30"/>
        </w:rPr>
      </w:pPr>
    </w:p>
    <w:p>
      <w:pPr>
        <w:adjustRightInd w:val="0"/>
        <w:snapToGrid w:val="0"/>
        <w:spacing w:line="360" w:lineRule="auto"/>
        <w:ind w:firstLine="566" w:firstLineChars="188"/>
        <w:jc w:val="center"/>
        <w:rPr>
          <w:rFonts w:hAnsi="宋体" w:cs="宋体"/>
          <w:b/>
          <w:kern w:val="44"/>
          <w:sz w:val="30"/>
          <w:szCs w:val="30"/>
        </w:rPr>
      </w:pPr>
    </w:p>
    <w:p>
      <w:pPr>
        <w:adjustRightInd w:val="0"/>
        <w:snapToGrid w:val="0"/>
        <w:spacing w:line="360" w:lineRule="auto"/>
        <w:ind w:firstLine="566" w:firstLineChars="188"/>
        <w:jc w:val="center"/>
        <w:rPr>
          <w:rFonts w:hAnsi="宋体" w:cs="宋体"/>
          <w:b/>
          <w:kern w:val="44"/>
          <w:sz w:val="30"/>
          <w:szCs w:val="30"/>
        </w:rPr>
      </w:pPr>
    </w:p>
    <w:p>
      <w:pPr>
        <w:adjustRightInd w:val="0"/>
        <w:snapToGrid w:val="0"/>
        <w:spacing w:line="360" w:lineRule="auto"/>
        <w:ind w:firstLine="566" w:firstLineChars="188"/>
        <w:jc w:val="center"/>
        <w:rPr>
          <w:rFonts w:hAnsi="宋体" w:cs="宋体"/>
          <w:b/>
          <w:kern w:val="44"/>
          <w:sz w:val="30"/>
          <w:szCs w:val="30"/>
        </w:rPr>
      </w:pPr>
    </w:p>
    <w:p>
      <w:pPr>
        <w:adjustRightInd w:val="0"/>
        <w:snapToGrid w:val="0"/>
        <w:spacing w:line="360" w:lineRule="auto"/>
        <w:ind w:firstLine="566" w:firstLineChars="188"/>
        <w:jc w:val="center"/>
        <w:rPr>
          <w:rFonts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int="eastAsia" w:hAnsi="宋体" w:cs="宋体"/>
          <w:b/>
          <w:kern w:val="44"/>
          <w:sz w:val="30"/>
          <w:szCs w:val="30"/>
        </w:rPr>
      </w:pPr>
    </w:p>
    <w:p>
      <w:pPr>
        <w:adjustRightInd w:val="0"/>
        <w:snapToGrid w:val="0"/>
        <w:spacing w:line="360" w:lineRule="auto"/>
        <w:ind w:firstLine="566" w:firstLineChars="188"/>
        <w:jc w:val="center"/>
        <w:rPr>
          <w:rFonts w:hAnsi="宋体" w:cs="宋体"/>
          <w:sz w:val="30"/>
          <w:szCs w:val="30"/>
        </w:rPr>
      </w:pPr>
      <w:r>
        <w:rPr>
          <w:rFonts w:hint="eastAsia" w:hAnsi="宋体" w:cs="宋体"/>
          <w:b/>
          <w:kern w:val="44"/>
          <w:sz w:val="30"/>
          <w:szCs w:val="30"/>
        </w:rPr>
        <w:t>第六章</w:t>
      </w:r>
      <w:r>
        <w:rPr>
          <w:rFonts w:hint="eastAsia" w:hAnsi="宋体" w:cs="宋体"/>
          <w:sz w:val="30"/>
          <w:szCs w:val="30"/>
        </w:rPr>
        <w:t xml:space="preserve">  </w:t>
      </w:r>
      <w:r>
        <w:rPr>
          <w:rFonts w:hint="eastAsia" w:hAnsi="宋体" w:cs="宋体"/>
          <w:b/>
          <w:kern w:val="44"/>
          <w:sz w:val="30"/>
          <w:szCs w:val="30"/>
        </w:rPr>
        <w:t>合同主要条款</w:t>
      </w:r>
    </w:p>
    <w:p>
      <w:pPr>
        <w:jc w:val="center"/>
        <w:rPr>
          <w:sz w:val="28"/>
          <w:szCs w:val="28"/>
        </w:rPr>
      </w:pPr>
      <w:r>
        <w:rPr>
          <w:rFonts w:hint="eastAsia"/>
          <w:sz w:val="28"/>
          <w:szCs w:val="28"/>
        </w:rPr>
        <w:t>（</w:t>
      </w:r>
      <w:r>
        <w:rPr>
          <w:rFonts w:hint="eastAsia" w:hAnsi="宋体" w:cs="宋体"/>
          <w:kern w:val="44"/>
          <w:sz w:val="28"/>
          <w:szCs w:val="28"/>
        </w:rPr>
        <w:t>供参考）</w:t>
      </w:r>
    </w:p>
    <w:p>
      <w:pPr>
        <w:snapToGrid w:val="0"/>
        <w:spacing w:line="360" w:lineRule="auto"/>
        <w:ind w:left="324" w:hanging="324" w:hangingChars="135"/>
        <w:rPr>
          <w:rFonts w:hAnsi="宋体" w:cs="宋体"/>
          <w:sz w:val="24"/>
          <w:szCs w:val="24"/>
        </w:rPr>
      </w:pPr>
      <w:r>
        <w:rPr>
          <w:rFonts w:hint="eastAsia" w:hAnsi="宋体" w:cs="宋体"/>
          <w:sz w:val="24"/>
          <w:szCs w:val="24"/>
        </w:rPr>
        <w:t>合同编号：XXXX。</w:t>
      </w:r>
    </w:p>
    <w:p>
      <w:pPr>
        <w:snapToGrid w:val="0"/>
        <w:spacing w:line="360" w:lineRule="auto"/>
        <w:ind w:left="324" w:hanging="324" w:hangingChars="135"/>
        <w:rPr>
          <w:rFonts w:hAnsi="宋体" w:cs="宋体"/>
          <w:sz w:val="24"/>
          <w:szCs w:val="24"/>
        </w:rPr>
      </w:pPr>
      <w:r>
        <w:rPr>
          <w:rFonts w:hint="eastAsia" w:hAnsi="宋体" w:cs="宋体"/>
          <w:sz w:val="24"/>
          <w:szCs w:val="24"/>
        </w:rPr>
        <w:t>签订地点：XXXX。</w:t>
      </w:r>
    </w:p>
    <w:p>
      <w:pPr>
        <w:snapToGrid w:val="0"/>
        <w:spacing w:line="360" w:lineRule="auto"/>
        <w:ind w:left="324" w:hanging="324" w:hangingChars="135"/>
        <w:rPr>
          <w:rFonts w:hAnsi="宋体" w:cs="宋体"/>
          <w:sz w:val="24"/>
          <w:szCs w:val="24"/>
        </w:rPr>
      </w:pPr>
      <w:r>
        <w:rPr>
          <w:rFonts w:hint="eastAsia" w:hAnsi="宋体" w:cs="宋体"/>
          <w:sz w:val="24"/>
          <w:szCs w:val="24"/>
        </w:rPr>
        <w:t>签订时间：XXXX年XX月XX日。</w:t>
      </w:r>
    </w:p>
    <w:p>
      <w:pPr>
        <w:snapToGrid w:val="0"/>
        <w:spacing w:line="360" w:lineRule="auto"/>
        <w:ind w:left="324" w:hanging="324" w:hangingChars="135"/>
        <w:rPr>
          <w:rFonts w:hAnsi="宋体" w:cs="宋体"/>
          <w:sz w:val="24"/>
          <w:szCs w:val="24"/>
        </w:rPr>
      </w:pPr>
      <w:r>
        <w:rPr>
          <w:rFonts w:hint="eastAsia" w:hAnsi="宋体" w:cs="宋体"/>
          <w:sz w:val="24"/>
          <w:szCs w:val="24"/>
        </w:rPr>
        <w:t>采购人（甲方）：</w:t>
      </w:r>
      <w:r>
        <w:rPr>
          <w:rFonts w:hint="eastAsia" w:hAnsi="宋体" w:cs="宋体"/>
          <w:sz w:val="24"/>
          <w:szCs w:val="24"/>
          <w:u w:val="single"/>
        </w:rPr>
        <w:t xml:space="preserve">                             </w:t>
      </w:r>
      <w:r>
        <w:rPr>
          <w:rFonts w:hint="eastAsia" w:hAnsi="宋体" w:cs="宋体"/>
          <w:sz w:val="24"/>
          <w:szCs w:val="24"/>
        </w:rPr>
        <w:t xml:space="preserve"> </w:t>
      </w:r>
    </w:p>
    <w:p>
      <w:pPr>
        <w:snapToGrid w:val="0"/>
        <w:spacing w:line="360" w:lineRule="auto"/>
        <w:ind w:left="324" w:hanging="324" w:hangingChars="135"/>
        <w:rPr>
          <w:rFonts w:hAnsi="宋体" w:cs="宋体"/>
          <w:sz w:val="24"/>
          <w:szCs w:val="24"/>
        </w:rPr>
      </w:pPr>
      <w:r>
        <w:rPr>
          <w:rFonts w:hint="eastAsia" w:hAnsi="宋体" w:cs="宋体"/>
          <w:sz w:val="24"/>
          <w:szCs w:val="24"/>
        </w:rPr>
        <w:t>供应商（乙方）：</w:t>
      </w:r>
      <w:r>
        <w:rPr>
          <w:rFonts w:hint="eastAsia" w:hAnsi="宋体" w:cs="宋体"/>
          <w:sz w:val="24"/>
          <w:szCs w:val="24"/>
          <w:u w:val="single"/>
        </w:rPr>
        <w:t xml:space="preserve">                             </w:t>
      </w:r>
      <w:r>
        <w:rPr>
          <w:rFonts w:hint="eastAsia" w:hAnsi="宋体" w:cs="宋体"/>
          <w:sz w:val="24"/>
          <w:szCs w:val="24"/>
        </w:rPr>
        <w:t xml:space="preserve">                                        </w:t>
      </w:r>
    </w:p>
    <w:p>
      <w:pPr>
        <w:snapToGrid w:val="0"/>
        <w:spacing w:line="360" w:lineRule="auto"/>
        <w:rPr>
          <w:rFonts w:hAnsi="宋体" w:cs="宋体"/>
          <w:sz w:val="24"/>
          <w:szCs w:val="24"/>
        </w:rPr>
      </w:pPr>
    </w:p>
    <w:p>
      <w:pPr>
        <w:pStyle w:val="70"/>
        <w:snapToGrid w:val="0"/>
        <w:spacing w:line="360" w:lineRule="auto"/>
        <w:ind w:firstLine="480"/>
        <w:rPr>
          <w:rFonts w:hAnsi="宋体"/>
          <w:szCs w:val="24"/>
        </w:rPr>
      </w:pPr>
      <w:r>
        <w:rPr>
          <w:rFonts w:hint="eastAsia" w:hAnsi="宋体"/>
          <w:szCs w:val="24"/>
        </w:rPr>
        <w:t>根据《中华人民共和国合同法》及XX采购人</w:t>
      </w:r>
      <w:r>
        <w:rPr>
          <w:rFonts w:hint="eastAsia" w:hAnsi="宋体"/>
          <w:szCs w:val="24"/>
          <w:u w:val="single"/>
        </w:rPr>
        <w:t xml:space="preserve">             </w:t>
      </w:r>
      <w:r>
        <w:rPr>
          <w:rFonts w:hint="eastAsia" w:hAnsi="宋体"/>
          <w:szCs w:val="24"/>
        </w:rPr>
        <w:t>采购项目（项目编号：XX）的《招标文件》、乙方的《投标文件》，甲、乙双方同意签订本合同。详细技术说明及其他有关合同项目的特定信息由合同附件予以说明，合同附件及本项目的招标文件、投标文件等均为本合同不可分割的部分。双方同意共同遵守如下条款：</w:t>
      </w:r>
    </w:p>
    <w:p>
      <w:pPr>
        <w:pStyle w:val="5"/>
        <w:snapToGrid w:val="0"/>
        <w:spacing w:before="0" w:after="0" w:line="360" w:lineRule="auto"/>
        <w:ind w:firstLine="482" w:firstLineChars="200"/>
        <w:rPr>
          <w:rFonts w:ascii="宋体" w:hAnsi="宋体" w:eastAsia="宋体" w:cs="宋体"/>
          <w:sz w:val="24"/>
          <w:szCs w:val="24"/>
        </w:rPr>
      </w:pPr>
      <w:bookmarkStart w:id="98" w:name="_Toc217446107"/>
      <w:r>
        <w:rPr>
          <w:rFonts w:hint="eastAsia" w:ascii="宋体" w:hAnsi="宋体" w:eastAsia="宋体" w:cs="宋体"/>
          <w:sz w:val="24"/>
          <w:szCs w:val="24"/>
        </w:rPr>
        <w:t>一、合同货物</w:t>
      </w:r>
      <w:bookmarkEnd w:id="98"/>
    </w:p>
    <w:tbl>
      <w:tblPr>
        <w:tblStyle w:val="21"/>
        <w:tblW w:w="0" w:type="auto"/>
        <w:tblInd w:w="-17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9"/>
        <w:gridCol w:w="1158"/>
        <w:gridCol w:w="794"/>
        <w:gridCol w:w="993"/>
        <w:gridCol w:w="1192"/>
        <w:gridCol w:w="1307"/>
        <w:gridCol w:w="1390"/>
        <w:gridCol w:w="13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19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jc w:val="center"/>
              <w:rPr>
                <w:rFonts w:hAnsi="宋体" w:cs="宋体"/>
                <w:sz w:val="24"/>
                <w:szCs w:val="24"/>
              </w:rPr>
            </w:pPr>
            <w:r>
              <w:rPr>
                <w:rFonts w:hint="eastAsia" w:hAnsi="宋体" w:cs="宋体"/>
                <w:sz w:val="24"/>
                <w:szCs w:val="24"/>
              </w:rPr>
              <w:t>货物品名</w:t>
            </w:r>
          </w:p>
        </w:tc>
        <w:tc>
          <w:tcPr>
            <w:tcW w:w="11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规格</w:t>
            </w:r>
          </w:p>
          <w:p>
            <w:pPr>
              <w:snapToGrid w:val="0"/>
              <w:spacing w:line="360" w:lineRule="auto"/>
              <w:jc w:val="center"/>
              <w:rPr>
                <w:rFonts w:hAnsi="宋体" w:cs="宋体"/>
                <w:sz w:val="24"/>
                <w:szCs w:val="24"/>
              </w:rPr>
            </w:pPr>
            <w:r>
              <w:rPr>
                <w:rFonts w:hint="eastAsia" w:hAnsi="宋体" w:cs="宋体"/>
                <w:sz w:val="24"/>
                <w:szCs w:val="24"/>
              </w:rPr>
              <w:t>型号</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单位</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120" w:firstLineChars="50"/>
              <w:rPr>
                <w:rFonts w:hAnsi="宋体" w:cs="宋体"/>
                <w:sz w:val="24"/>
                <w:szCs w:val="24"/>
              </w:rPr>
            </w:pPr>
            <w:r>
              <w:rPr>
                <w:rFonts w:hint="eastAsia" w:hAnsi="宋体" w:cs="宋体"/>
                <w:sz w:val="24"/>
                <w:szCs w:val="24"/>
              </w:rPr>
              <w:t>数量</w:t>
            </w:r>
          </w:p>
        </w:tc>
        <w:tc>
          <w:tcPr>
            <w:tcW w:w="11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120" w:firstLineChars="50"/>
              <w:jc w:val="center"/>
              <w:rPr>
                <w:rFonts w:hAnsi="宋体" w:cs="宋体"/>
                <w:sz w:val="24"/>
                <w:szCs w:val="24"/>
              </w:rPr>
            </w:pPr>
            <w:r>
              <w:rPr>
                <w:rFonts w:hint="eastAsia" w:hAnsi="宋体" w:cs="宋体"/>
                <w:sz w:val="24"/>
                <w:szCs w:val="24"/>
              </w:rPr>
              <w:t>单价</w:t>
            </w:r>
          </w:p>
          <w:p>
            <w:pPr>
              <w:snapToGrid w:val="0"/>
              <w:spacing w:line="360" w:lineRule="auto"/>
              <w:jc w:val="center"/>
              <w:rPr>
                <w:rFonts w:hAnsi="宋体" w:cs="宋体"/>
                <w:sz w:val="24"/>
                <w:szCs w:val="24"/>
              </w:rPr>
            </w:pPr>
            <w:r>
              <w:rPr>
                <w:rFonts w:hint="eastAsia" w:hAnsi="宋体" w:cs="宋体"/>
                <w:sz w:val="24"/>
                <w:szCs w:val="24"/>
              </w:rPr>
              <w:t>（万元）</w:t>
            </w:r>
          </w:p>
        </w:tc>
        <w:tc>
          <w:tcPr>
            <w:tcW w:w="13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rPr>
                <w:rFonts w:hAnsi="宋体" w:cs="宋体"/>
                <w:sz w:val="24"/>
                <w:szCs w:val="24"/>
              </w:rPr>
            </w:pPr>
            <w:r>
              <w:rPr>
                <w:rFonts w:hint="eastAsia" w:hAnsi="宋体" w:cs="宋体"/>
                <w:sz w:val="24"/>
                <w:szCs w:val="24"/>
              </w:rPr>
              <w:t>总价</w:t>
            </w:r>
          </w:p>
          <w:p>
            <w:pPr>
              <w:snapToGrid w:val="0"/>
              <w:spacing w:line="360" w:lineRule="auto"/>
              <w:rPr>
                <w:rFonts w:hAnsi="宋体" w:cs="宋体"/>
                <w:sz w:val="24"/>
                <w:szCs w:val="24"/>
              </w:rPr>
            </w:pPr>
            <w:r>
              <w:rPr>
                <w:rFonts w:hint="eastAsia" w:hAnsi="宋体" w:cs="宋体"/>
                <w:sz w:val="24"/>
                <w:szCs w:val="24"/>
              </w:rPr>
              <w:t>（万元）</w:t>
            </w:r>
          </w:p>
        </w:tc>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随机</w:t>
            </w:r>
          </w:p>
          <w:p>
            <w:pPr>
              <w:snapToGrid w:val="0"/>
              <w:spacing w:line="360" w:lineRule="auto"/>
              <w:jc w:val="center"/>
              <w:rPr>
                <w:rFonts w:hAnsi="宋体" w:cs="宋体"/>
                <w:sz w:val="24"/>
                <w:szCs w:val="24"/>
              </w:rPr>
            </w:pPr>
            <w:r>
              <w:rPr>
                <w:rFonts w:hint="eastAsia" w:hAnsi="宋体" w:cs="宋体"/>
                <w:sz w:val="24"/>
                <w:szCs w:val="24"/>
              </w:rPr>
              <w:t>配件</w:t>
            </w:r>
          </w:p>
        </w:tc>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120" w:firstLineChars="50"/>
              <w:jc w:val="center"/>
              <w:rPr>
                <w:rFonts w:hAnsi="宋体" w:cs="宋体"/>
                <w:sz w:val="24"/>
                <w:szCs w:val="24"/>
              </w:rPr>
            </w:pPr>
            <w:r>
              <w:rPr>
                <w:rFonts w:hint="eastAsia" w:hAnsi="宋体" w:cs="宋体"/>
                <w:sz w:val="24"/>
                <w:szCs w:val="24"/>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9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11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11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13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9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11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11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13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r>
              <w:rPr>
                <w:rFonts w:hint="eastAsia" w:hAnsi="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9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11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11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13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90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11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79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1192"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130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Ansi="宋体" w:cs="宋体"/>
                <w:sz w:val="24"/>
                <w:szCs w:val="24"/>
              </w:rPr>
            </w:pPr>
          </w:p>
        </w:tc>
      </w:tr>
    </w:tbl>
    <w:p>
      <w:pPr>
        <w:pStyle w:val="5"/>
        <w:tabs>
          <w:tab w:val="left" w:pos="142"/>
        </w:tabs>
        <w:snapToGrid w:val="0"/>
        <w:spacing w:before="0" w:after="0" w:line="360" w:lineRule="auto"/>
        <w:ind w:firstLine="161" w:firstLineChars="67"/>
        <w:rPr>
          <w:rFonts w:ascii="宋体" w:hAnsi="宋体" w:eastAsia="宋体" w:cs="宋体"/>
          <w:sz w:val="24"/>
          <w:szCs w:val="24"/>
        </w:rPr>
      </w:pPr>
      <w:bookmarkStart w:id="99" w:name="_Toc217446108"/>
      <w:r>
        <w:rPr>
          <w:rFonts w:hint="eastAsia" w:ascii="宋体" w:hAnsi="宋体" w:eastAsia="宋体" w:cs="宋体"/>
          <w:sz w:val="24"/>
          <w:szCs w:val="24"/>
        </w:rPr>
        <w:t>二、合同总价</w:t>
      </w:r>
      <w:bookmarkEnd w:id="99"/>
    </w:p>
    <w:p>
      <w:pPr>
        <w:pStyle w:val="7"/>
        <w:snapToGrid w:val="0"/>
        <w:spacing w:line="360" w:lineRule="auto"/>
        <w:ind w:firstLine="484" w:firstLineChars="202"/>
        <w:rPr>
          <w:rFonts w:hAnsi="宋体" w:cs="宋体"/>
          <w:sz w:val="24"/>
        </w:rPr>
      </w:pPr>
      <w:r>
        <w:rPr>
          <w:rFonts w:hint="eastAsia" w:hAnsi="宋体" w:cs="宋体"/>
          <w:sz w:val="24"/>
        </w:rPr>
        <w:t>合同总价为人民币大写：</w:t>
      </w:r>
      <w:r>
        <w:rPr>
          <w:rFonts w:hint="eastAsia" w:hAnsi="宋体" w:cs="宋体"/>
          <w:sz w:val="24"/>
          <w:u w:val="single"/>
        </w:rPr>
        <w:t xml:space="preserve">                </w:t>
      </w:r>
      <w:r>
        <w:rPr>
          <w:rFonts w:hint="eastAsia" w:hAnsi="宋体" w:cs="宋体"/>
          <w:sz w:val="24"/>
        </w:rPr>
        <w:t>元，即RMB￥</w:t>
      </w:r>
      <w:r>
        <w:rPr>
          <w:rFonts w:hint="eastAsia" w:hAnsi="宋体" w:cs="宋体"/>
          <w:sz w:val="24"/>
          <w:u w:val="single"/>
        </w:rPr>
        <w:t xml:space="preserve">        </w:t>
      </w:r>
      <w:r>
        <w:rPr>
          <w:rFonts w:hint="eastAsia" w:hAnsi="宋体" w:cs="宋体"/>
          <w:sz w:val="24"/>
        </w:rPr>
        <w:t>元；该合同总价已包括产品设计、人工、制造、安装、调试、检测、验收合格交付使用之前及保修期内保修服务与备用物件等等所有其他有关各项的含税费用。本合同执行期间合同总价不变，甲方无须另向乙方支付本合同规定之外的其他任何费用。</w:t>
      </w:r>
    </w:p>
    <w:p>
      <w:pPr>
        <w:pStyle w:val="5"/>
        <w:tabs>
          <w:tab w:val="left" w:pos="142"/>
        </w:tabs>
        <w:snapToGrid w:val="0"/>
        <w:spacing w:before="0" w:after="0" w:line="360" w:lineRule="auto"/>
        <w:ind w:firstLine="161" w:firstLineChars="67"/>
        <w:rPr>
          <w:rFonts w:ascii="宋体" w:hAnsi="宋体" w:eastAsia="宋体" w:cs="宋体"/>
          <w:sz w:val="24"/>
          <w:szCs w:val="24"/>
        </w:rPr>
      </w:pPr>
      <w:bookmarkStart w:id="100" w:name="_Toc217446109"/>
      <w:r>
        <w:rPr>
          <w:rFonts w:hint="eastAsia" w:ascii="宋体" w:hAnsi="宋体" w:eastAsia="宋体" w:cs="宋体"/>
          <w:sz w:val="24"/>
          <w:szCs w:val="24"/>
        </w:rPr>
        <w:t>三、质量要求</w:t>
      </w:r>
      <w:bookmarkEnd w:id="100"/>
    </w:p>
    <w:p>
      <w:pPr>
        <w:pStyle w:val="70"/>
        <w:snapToGrid w:val="0"/>
        <w:spacing w:line="360" w:lineRule="auto"/>
        <w:ind w:firstLine="480"/>
        <w:rPr>
          <w:rFonts w:hAnsi="宋体"/>
          <w:szCs w:val="24"/>
        </w:rPr>
      </w:pPr>
      <w:r>
        <w:rPr>
          <w:rFonts w:hint="eastAsia" w:hAnsi="宋体"/>
          <w:szCs w:val="24"/>
        </w:rPr>
        <w:t>1、乙方须提供全新的产品，不得侵害他人的知识产权。</w:t>
      </w:r>
    </w:p>
    <w:p>
      <w:pPr>
        <w:pStyle w:val="70"/>
        <w:snapToGrid w:val="0"/>
        <w:spacing w:line="360" w:lineRule="auto"/>
        <w:ind w:firstLine="480"/>
        <w:rPr>
          <w:rFonts w:hAnsi="宋体"/>
          <w:szCs w:val="24"/>
        </w:rPr>
      </w:pPr>
      <w:r>
        <w:rPr>
          <w:rFonts w:hint="eastAsia" w:hAnsi="宋体"/>
          <w:szCs w:val="24"/>
        </w:rPr>
        <w:t>2、货物必须符合或优于国家（行业）</w:t>
      </w:r>
      <w:r>
        <w:rPr>
          <w:rFonts w:hint="eastAsia" w:hAnsi="宋体"/>
          <w:szCs w:val="24"/>
          <w:u w:val="single"/>
        </w:rPr>
        <w:t xml:space="preserve">          </w:t>
      </w:r>
      <w:r>
        <w:rPr>
          <w:rFonts w:hint="eastAsia" w:hAnsi="宋体"/>
          <w:szCs w:val="24"/>
        </w:rPr>
        <w:t>标准，以及本项目招标文件的质量要求和技术指标与出厂标准。</w:t>
      </w:r>
    </w:p>
    <w:p>
      <w:pPr>
        <w:pStyle w:val="70"/>
        <w:snapToGrid w:val="0"/>
        <w:spacing w:line="360" w:lineRule="auto"/>
        <w:ind w:firstLine="480"/>
        <w:rPr>
          <w:rFonts w:hAnsi="宋体"/>
          <w:szCs w:val="24"/>
        </w:rPr>
      </w:pPr>
      <w:r>
        <w:rPr>
          <w:rFonts w:hint="eastAsia" w:hAnsi="宋体"/>
          <w:szCs w:val="24"/>
        </w:rPr>
        <w:t>3、乙方须在本合同签订之日起</w:t>
      </w:r>
      <w:r>
        <w:rPr>
          <w:rFonts w:hint="eastAsia" w:hAnsi="宋体"/>
          <w:szCs w:val="24"/>
          <w:u w:val="single"/>
        </w:rPr>
        <w:t xml:space="preserve">    </w:t>
      </w:r>
      <w:r>
        <w:rPr>
          <w:rFonts w:hint="eastAsia" w:hAnsi="宋体"/>
          <w:szCs w:val="24"/>
        </w:rPr>
        <w:t>日内送交产品成品给甲方确认。</w:t>
      </w:r>
    </w:p>
    <w:p>
      <w:pPr>
        <w:pStyle w:val="70"/>
        <w:snapToGrid w:val="0"/>
        <w:spacing w:line="360" w:lineRule="auto"/>
        <w:ind w:firstLine="480"/>
        <w:rPr>
          <w:rFonts w:hAnsi="宋体"/>
          <w:szCs w:val="24"/>
        </w:rPr>
      </w:pPr>
      <w:r>
        <w:rPr>
          <w:rFonts w:hint="eastAsia" w:hAnsi="宋体"/>
          <w:szCs w:val="24"/>
        </w:rPr>
        <w:t>4、产品制造质量出现问题，乙方应负责三包（包修、包换、包退），费用由乙方负担，甲方有权到乙方生产场地检查产品质量和生产进度。</w:t>
      </w:r>
    </w:p>
    <w:p>
      <w:pPr>
        <w:pStyle w:val="70"/>
        <w:snapToGrid w:val="0"/>
        <w:spacing w:line="360" w:lineRule="auto"/>
        <w:ind w:firstLine="480"/>
        <w:rPr>
          <w:rFonts w:hAnsi="宋体"/>
          <w:szCs w:val="24"/>
        </w:rPr>
      </w:pPr>
      <w:r>
        <w:rPr>
          <w:rFonts w:hint="eastAsia" w:hAnsi="宋体"/>
          <w:szCs w:val="24"/>
        </w:rPr>
        <w:t>5、产品验收后由于甲方使用不当造成的问题，乙方亦应负责修理，但费用由甲方负担。</w:t>
      </w:r>
    </w:p>
    <w:p>
      <w:pPr>
        <w:pStyle w:val="70"/>
        <w:snapToGrid w:val="0"/>
        <w:spacing w:line="360" w:lineRule="auto"/>
        <w:ind w:firstLine="0" w:firstLineChars="0"/>
        <w:rPr>
          <w:rFonts w:hAnsi="宋体"/>
          <w:szCs w:val="24"/>
        </w:rPr>
      </w:pPr>
      <w:r>
        <w:rPr>
          <w:rFonts w:hint="eastAsia" w:hAnsi="宋体"/>
          <w:b/>
          <w:bCs/>
          <w:szCs w:val="24"/>
        </w:rPr>
        <w:t>四、</w:t>
      </w:r>
      <w:bookmarkStart w:id="101" w:name="_Toc217446110"/>
      <w:r>
        <w:rPr>
          <w:rFonts w:hint="eastAsia" w:hAnsi="宋体"/>
          <w:b/>
          <w:bCs/>
          <w:szCs w:val="24"/>
        </w:rPr>
        <w:t>交货及验收</w:t>
      </w:r>
      <w:bookmarkEnd w:id="101"/>
    </w:p>
    <w:p>
      <w:pPr>
        <w:pStyle w:val="70"/>
        <w:snapToGrid w:val="0"/>
        <w:spacing w:line="360" w:lineRule="auto"/>
        <w:ind w:firstLine="480"/>
        <w:rPr>
          <w:rFonts w:hAnsi="宋体"/>
          <w:szCs w:val="24"/>
        </w:rPr>
      </w:pPr>
      <w:r>
        <w:rPr>
          <w:rFonts w:hint="eastAsia" w:hAnsi="宋体"/>
          <w:szCs w:val="24"/>
        </w:rPr>
        <w:t>1、乙方交货期限为合同签订生效后的XX日内，在合同签订生效之日起XX天内交货到甲方指定地点，随即在XX日内全部完成安装调试验收合格交付使用，并且最迟应在XX年XX月XX日前全部完成安装调试验收合格交付使用(如由于采购人的原因造成合同延迟签订或验收的，时间顺延)。</w:t>
      </w:r>
    </w:p>
    <w:p>
      <w:pPr>
        <w:pStyle w:val="70"/>
        <w:snapToGrid w:val="0"/>
        <w:spacing w:line="360" w:lineRule="auto"/>
        <w:ind w:firstLine="480"/>
        <w:rPr>
          <w:rFonts w:hAnsi="宋体"/>
          <w:szCs w:val="24"/>
        </w:rPr>
      </w:pPr>
      <w:r>
        <w:rPr>
          <w:rFonts w:hint="eastAsia" w:hAnsi="宋体"/>
          <w:szCs w:val="24"/>
        </w:rPr>
        <w:t>2、验收由甲方组织，乙方配合进行：</w:t>
      </w:r>
    </w:p>
    <w:p>
      <w:pPr>
        <w:pStyle w:val="70"/>
        <w:snapToGrid w:val="0"/>
        <w:spacing w:line="360" w:lineRule="auto"/>
        <w:ind w:firstLine="480"/>
        <w:rPr>
          <w:rFonts w:hAnsi="宋体"/>
          <w:szCs w:val="24"/>
        </w:rPr>
      </w:pPr>
      <w:r>
        <w:rPr>
          <w:rFonts w:hint="eastAsia" w:hAnsi="宋体"/>
          <w:szCs w:val="24"/>
        </w:rPr>
        <w:t>(1) 产品在乙方通知安装调试完毕后</w:t>
      </w:r>
      <w:r>
        <w:rPr>
          <w:rFonts w:hint="eastAsia" w:hAnsi="宋体"/>
          <w:szCs w:val="24"/>
          <w:u w:val="single"/>
        </w:rPr>
        <w:t xml:space="preserve">    </w:t>
      </w:r>
      <w:r>
        <w:rPr>
          <w:rFonts w:hint="eastAsia" w:hAnsi="宋体"/>
          <w:szCs w:val="24"/>
        </w:rPr>
        <w:t>日内初步验收。初步验收合格后，进入</w:t>
      </w:r>
      <w:r>
        <w:rPr>
          <w:rFonts w:hint="eastAsia" w:hAnsi="宋体"/>
          <w:szCs w:val="24"/>
          <w:u w:val="single"/>
        </w:rPr>
        <w:t xml:space="preserve">    </w:t>
      </w:r>
      <w:r>
        <w:rPr>
          <w:rFonts w:hint="eastAsia" w:hAnsi="宋体"/>
          <w:szCs w:val="24"/>
        </w:rPr>
        <w:t>试用期；试用期间发生重大质量问题，修复后试用相应顺延；试用期结束后</w:t>
      </w:r>
      <w:r>
        <w:rPr>
          <w:rFonts w:hint="eastAsia" w:hAnsi="宋体"/>
          <w:szCs w:val="24"/>
          <w:u w:val="single"/>
        </w:rPr>
        <w:t xml:space="preserve">    </w:t>
      </w:r>
      <w:r>
        <w:rPr>
          <w:rFonts w:hint="eastAsia" w:hAnsi="宋体"/>
          <w:szCs w:val="24"/>
        </w:rPr>
        <w:t>日内完成最终验收；</w:t>
      </w:r>
    </w:p>
    <w:p>
      <w:pPr>
        <w:pStyle w:val="70"/>
        <w:snapToGrid w:val="0"/>
        <w:spacing w:line="360" w:lineRule="auto"/>
        <w:ind w:firstLine="480"/>
        <w:rPr>
          <w:rFonts w:hAnsi="宋体"/>
          <w:szCs w:val="24"/>
        </w:rPr>
      </w:pPr>
      <w:r>
        <w:rPr>
          <w:rFonts w:hint="eastAsia" w:hAnsi="宋体"/>
          <w:szCs w:val="24"/>
        </w:rPr>
        <w:t>(2) 验收标准：按国家有关规定以及甲方招标文件的质量要求和技术指标（参见第四章“招标项目技术、商务及其他要求”）进行验收；</w:t>
      </w:r>
    </w:p>
    <w:p>
      <w:pPr>
        <w:pStyle w:val="70"/>
        <w:snapToGrid w:val="0"/>
        <w:spacing w:line="360" w:lineRule="auto"/>
        <w:ind w:firstLine="480"/>
        <w:rPr>
          <w:rFonts w:hAnsi="宋体"/>
          <w:szCs w:val="24"/>
        </w:rPr>
      </w:pPr>
      <w:r>
        <w:rPr>
          <w:rFonts w:hint="eastAsia" w:hAnsi="宋体"/>
          <w:szCs w:val="24"/>
        </w:rPr>
        <w:t>(3) 验收时如发现所交付的货物有短装、次品、损坏或其它不符合标准及本合同规定之情形者，甲方做现场记录，此现场记录可用作补充、缺失和更换损坏部件的有效证据，由此产生的时间延误与有关费用由乙方承担，验收期限相应顺延；</w:t>
      </w:r>
    </w:p>
    <w:p>
      <w:pPr>
        <w:pStyle w:val="70"/>
        <w:snapToGrid w:val="0"/>
        <w:spacing w:line="360" w:lineRule="auto"/>
        <w:ind w:firstLine="439" w:firstLineChars="183"/>
        <w:rPr>
          <w:rFonts w:hAnsi="宋体"/>
          <w:szCs w:val="24"/>
        </w:rPr>
      </w:pPr>
      <w:r>
        <w:rPr>
          <w:rFonts w:hint="eastAsia" w:hAnsi="宋体"/>
          <w:szCs w:val="24"/>
        </w:rPr>
        <w:t>（4）如质量验收合格，双方签署质量验收报告。</w:t>
      </w:r>
    </w:p>
    <w:p>
      <w:pPr>
        <w:pStyle w:val="70"/>
        <w:snapToGrid w:val="0"/>
        <w:spacing w:line="360" w:lineRule="auto"/>
        <w:ind w:firstLine="480"/>
        <w:rPr>
          <w:rFonts w:hAnsi="宋体"/>
          <w:szCs w:val="24"/>
        </w:rPr>
      </w:pPr>
      <w:r>
        <w:rPr>
          <w:rFonts w:hint="eastAsia" w:hAnsi="宋体"/>
          <w:szCs w:val="24"/>
        </w:rPr>
        <w:t>3、产品安装完成后</w:t>
      </w:r>
      <w:r>
        <w:rPr>
          <w:rFonts w:hint="eastAsia" w:hAnsi="宋体"/>
          <w:szCs w:val="24"/>
          <w:u w:val="single"/>
        </w:rPr>
        <w:t xml:space="preserve">     </w:t>
      </w:r>
      <w:r>
        <w:rPr>
          <w:rFonts w:hint="eastAsia" w:hAnsi="宋体"/>
          <w:szCs w:val="24"/>
        </w:rPr>
        <w:t>日内，甲方无故不进行验收工作并已使用货物的，视同已安装调试完成并验收合格。</w:t>
      </w:r>
    </w:p>
    <w:p>
      <w:pPr>
        <w:pStyle w:val="70"/>
        <w:snapToGrid w:val="0"/>
        <w:spacing w:line="360" w:lineRule="auto"/>
        <w:ind w:firstLine="480"/>
        <w:rPr>
          <w:rFonts w:hAnsi="宋体"/>
          <w:szCs w:val="24"/>
        </w:rPr>
      </w:pPr>
      <w:r>
        <w:rPr>
          <w:rFonts w:hint="eastAsia" w:hAnsi="宋体"/>
          <w:szCs w:val="24"/>
        </w:rPr>
        <w:t>4、乙方应将所提供产品的清单、配件、随机工具、用户使用手册、原厂保修卡等资料交付给甲方；乙方不能完整交付货物及本款规定的单证和工具的，必须负责补齐，否则视为未按合同约定交货。</w:t>
      </w:r>
    </w:p>
    <w:p>
      <w:pPr>
        <w:pStyle w:val="70"/>
        <w:snapToGrid w:val="0"/>
        <w:spacing w:line="360" w:lineRule="auto"/>
        <w:ind w:firstLine="480"/>
        <w:rPr>
          <w:rFonts w:hAnsi="宋体"/>
          <w:szCs w:val="24"/>
        </w:rPr>
      </w:pPr>
      <w:r>
        <w:rPr>
          <w:rFonts w:hint="eastAsia" w:hAnsi="宋体"/>
          <w:szCs w:val="24"/>
        </w:rPr>
        <w:t>5、如货物经乙方</w:t>
      </w:r>
      <w:r>
        <w:rPr>
          <w:rFonts w:hint="eastAsia" w:hAnsi="宋体"/>
          <w:szCs w:val="24"/>
          <w:u w:val="single"/>
        </w:rPr>
        <w:t xml:space="preserve">   </w:t>
      </w:r>
      <w:r>
        <w:rPr>
          <w:rFonts w:hint="eastAsia" w:hAnsi="宋体"/>
          <w:szCs w:val="24"/>
        </w:rPr>
        <w:t>次维修仍不能达到合同约定的质量标准，甲方有权退货，并视作乙方不能交付货物而须支付违约赔偿金给甲方，甲方还可依法追究乙方的违约责任。 </w:t>
      </w:r>
    </w:p>
    <w:p>
      <w:pPr>
        <w:pStyle w:val="5"/>
        <w:snapToGrid w:val="0"/>
        <w:spacing w:before="0" w:after="0" w:line="360" w:lineRule="auto"/>
        <w:ind w:firstLine="161" w:firstLineChars="67"/>
        <w:rPr>
          <w:rFonts w:ascii="宋体" w:hAnsi="宋体" w:eastAsia="宋体" w:cs="宋体"/>
          <w:sz w:val="24"/>
          <w:szCs w:val="24"/>
        </w:rPr>
      </w:pPr>
      <w:bookmarkStart w:id="102" w:name="_Toc217446111"/>
      <w:r>
        <w:rPr>
          <w:rFonts w:hint="eastAsia" w:ascii="宋体" w:hAnsi="宋体" w:eastAsia="宋体" w:cs="宋体"/>
          <w:sz w:val="24"/>
          <w:szCs w:val="24"/>
        </w:rPr>
        <w:t>五、付款方式</w:t>
      </w:r>
      <w:bookmarkEnd w:id="102"/>
    </w:p>
    <w:p>
      <w:pPr>
        <w:pStyle w:val="70"/>
        <w:snapToGrid w:val="0"/>
        <w:spacing w:line="360" w:lineRule="auto"/>
        <w:ind w:firstLine="480"/>
        <w:jc w:val="left"/>
        <w:rPr>
          <w:rFonts w:hAnsi="宋体"/>
          <w:szCs w:val="24"/>
        </w:rPr>
      </w:pPr>
      <w:r>
        <w:rPr>
          <w:rFonts w:hint="eastAsia" w:hAnsi="宋体"/>
          <w:szCs w:val="24"/>
        </w:rPr>
        <w:t>1、甲方在本合同签订生效之日起，接到乙方通知和票据凭证资料后的</w:t>
      </w:r>
      <w:r>
        <w:rPr>
          <w:rFonts w:hint="eastAsia" w:hAnsi="宋体"/>
          <w:szCs w:val="24"/>
          <w:u w:val="single"/>
        </w:rPr>
        <w:t xml:space="preserve">    </w:t>
      </w:r>
      <w:r>
        <w:rPr>
          <w:rFonts w:hint="eastAsia" w:hAnsi="宋体"/>
          <w:szCs w:val="24"/>
        </w:rPr>
        <w:t>日内支付合同金额百分之</w:t>
      </w:r>
      <w:r>
        <w:rPr>
          <w:rFonts w:hint="eastAsia" w:hAnsi="宋体"/>
          <w:szCs w:val="24"/>
          <w:u w:val="single"/>
        </w:rPr>
        <w:t xml:space="preserve">     </w:t>
      </w:r>
      <w:r>
        <w:rPr>
          <w:rFonts w:hint="eastAsia" w:hAnsi="宋体"/>
          <w:szCs w:val="24"/>
        </w:rPr>
        <w:t>的价款；</w:t>
      </w:r>
    </w:p>
    <w:p>
      <w:pPr>
        <w:pStyle w:val="70"/>
        <w:snapToGrid w:val="0"/>
        <w:spacing w:line="360" w:lineRule="auto"/>
        <w:ind w:firstLine="480"/>
        <w:rPr>
          <w:rFonts w:hAnsi="宋体"/>
          <w:szCs w:val="24"/>
        </w:rPr>
      </w:pPr>
      <w:r>
        <w:rPr>
          <w:rFonts w:hint="eastAsia" w:hAnsi="宋体"/>
          <w:szCs w:val="24"/>
        </w:rPr>
        <w:t>2、全部货物安装调试完毕并验收合格之日起，甲方接到乙方通知与票据凭证资料后的  日内，向乙方核拨合同总价的百分之</w:t>
      </w:r>
      <w:r>
        <w:rPr>
          <w:rFonts w:hint="eastAsia" w:hAnsi="宋体"/>
          <w:szCs w:val="24"/>
          <w:u w:val="single"/>
        </w:rPr>
        <w:t xml:space="preserve">   </w:t>
      </w:r>
      <w:r>
        <w:rPr>
          <w:rFonts w:hint="eastAsia" w:hAnsi="宋体"/>
          <w:szCs w:val="24"/>
        </w:rPr>
        <w:t>款项：￥</w:t>
      </w:r>
      <w:r>
        <w:rPr>
          <w:rFonts w:hint="eastAsia" w:hAnsi="宋体"/>
          <w:szCs w:val="24"/>
          <w:u w:val="single"/>
        </w:rPr>
        <w:t xml:space="preserve">     </w:t>
      </w:r>
      <w:r>
        <w:rPr>
          <w:rFonts w:hint="eastAsia" w:hAnsi="宋体"/>
          <w:szCs w:val="24"/>
        </w:rPr>
        <w:t>元，人民币大写</w:t>
      </w:r>
      <w:r>
        <w:rPr>
          <w:rFonts w:hint="eastAsia" w:hAnsi="宋体"/>
          <w:szCs w:val="24"/>
          <w:u w:val="single"/>
        </w:rPr>
        <w:t xml:space="preserve">    </w:t>
      </w:r>
      <w:r>
        <w:rPr>
          <w:rFonts w:hint="eastAsia" w:hAnsi="宋体"/>
          <w:szCs w:val="24"/>
        </w:rPr>
        <w:t>元整；</w:t>
      </w:r>
    </w:p>
    <w:p>
      <w:pPr>
        <w:pStyle w:val="70"/>
        <w:snapToGrid w:val="0"/>
        <w:spacing w:line="360" w:lineRule="auto"/>
        <w:ind w:firstLine="480"/>
        <w:jc w:val="left"/>
        <w:rPr>
          <w:rFonts w:hAnsi="宋体"/>
          <w:szCs w:val="24"/>
        </w:rPr>
      </w:pPr>
      <w:r>
        <w:rPr>
          <w:rFonts w:hint="eastAsia" w:hAnsi="宋体"/>
          <w:szCs w:val="24"/>
        </w:rPr>
        <w:t>3、乙方须向甲方出具合法有效完整的完税发票及凭证资料进行支付结算。</w:t>
      </w:r>
    </w:p>
    <w:p>
      <w:pPr>
        <w:pStyle w:val="5"/>
        <w:snapToGrid w:val="0"/>
        <w:spacing w:before="0" w:after="0" w:line="360" w:lineRule="auto"/>
        <w:ind w:firstLine="161" w:firstLineChars="67"/>
        <w:rPr>
          <w:rFonts w:ascii="宋体" w:hAnsi="宋体" w:eastAsia="宋体" w:cs="宋体"/>
          <w:sz w:val="24"/>
          <w:szCs w:val="24"/>
        </w:rPr>
      </w:pPr>
      <w:bookmarkStart w:id="103" w:name="_Toc217446112"/>
      <w:r>
        <w:rPr>
          <w:rFonts w:hint="eastAsia" w:ascii="宋体" w:hAnsi="宋体" w:eastAsia="宋体" w:cs="宋体"/>
          <w:sz w:val="24"/>
          <w:szCs w:val="24"/>
        </w:rPr>
        <w:t>六、售后服务</w:t>
      </w:r>
      <w:bookmarkEnd w:id="103"/>
    </w:p>
    <w:p>
      <w:pPr>
        <w:pStyle w:val="70"/>
        <w:snapToGrid w:val="0"/>
        <w:spacing w:line="360" w:lineRule="auto"/>
        <w:ind w:firstLine="480"/>
        <w:rPr>
          <w:rFonts w:hAnsi="宋体"/>
          <w:szCs w:val="24"/>
        </w:rPr>
      </w:pPr>
      <w:r>
        <w:rPr>
          <w:rFonts w:hint="eastAsia" w:hAnsi="宋体"/>
          <w:szCs w:val="24"/>
        </w:rPr>
        <w:t>1、质保期为验收合格后XX年，质保期内出现质量问题，乙方在接到通知后</w:t>
      </w:r>
      <w:r>
        <w:rPr>
          <w:rFonts w:hint="eastAsia" w:hAnsi="宋体"/>
          <w:szCs w:val="24"/>
          <w:u w:val="single"/>
        </w:rPr>
        <w:t xml:space="preserve">   </w:t>
      </w:r>
      <w:r>
        <w:rPr>
          <w:rFonts w:hint="eastAsia" w:hAnsi="宋体"/>
          <w:szCs w:val="24"/>
        </w:rPr>
        <w:t>小时内响应到场，</w:t>
      </w:r>
      <w:r>
        <w:rPr>
          <w:rFonts w:hint="eastAsia" w:hAnsi="宋体"/>
          <w:szCs w:val="24"/>
          <w:u w:val="single"/>
        </w:rPr>
        <w:t xml:space="preserve">    </w:t>
      </w:r>
      <w:r>
        <w:rPr>
          <w:rFonts w:hint="eastAsia" w:hAnsi="宋体"/>
          <w:szCs w:val="24"/>
        </w:rPr>
        <w:t>小时内完成维修或更换，并承担修理调换的费用；如货物经乙方</w:t>
      </w:r>
      <w:r>
        <w:rPr>
          <w:rFonts w:hint="eastAsia" w:hAnsi="宋体"/>
          <w:szCs w:val="24"/>
          <w:u w:val="single"/>
        </w:rPr>
        <w:t xml:space="preserve">   </w:t>
      </w:r>
      <w:r>
        <w:rPr>
          <w:rFonts w:hint="eastAsia" w:hAnsi="宋体"/>
          <w:szCs w:val="24"/>
        </w:rPr>
        <w:t>次维修仍不能达到本合同约定的质量标准，视作乙方未能按时交货，甲方有权退货并追究乙方的违约责任。货到现场后由于甲方保管不当造成的问题，乙方亦应负责修复，但费用由甲方负担。</w:t>
      </w:r>
    </w:p>
    <w:p>
      <w:pPr>
        <w:pStyle w:val="70"/>
        <w:snapToGrid w:val="0"/>
        <w:spacing w:line="360" w:lineRule="auto"/>
        <w:ind w:firstLine="480"/>
        <w:rPr>
          <w:rFonts w:hAnsi="宋体"/>
          <w:szCs w:val="24"/>
        </w:rPr>
      </w:pPr>
      <w:r>
        <w:rPr>
          <w:rFonts w:hint="eastAsia" w:hAnsi="宋体"/>
          <w:szCs w:val="24"/>
        </w:rPr>
        <w:t>2、乙方须指派专人负责与甲方联系人员培训、维护维修等售后服务事宜。</w:t>
      </w:r>
    </w:p>
    <w:p>
      <w:pPr>
        <w:pStyle w:val="5"/>
        <w:snapToGrid w:val="0"/>
        <w:spacing w:before="0" w:after="0" w:line="360" w:lineRule="auto"/>
        <w:ind w:firstLine="161" w:firstLineChars="67"/>
        <w:rPr>
          <w:rFonts w:ascii="宋体" w:hAnsi="宋体" w:eastAsia="宋体" w:cs="宋体"/>
          <w:sz w:val="24"/>
          <w:szCs w:val="24"/>
        </w:rPr>
      </w:pPr>
      <w:bookmarkStart w:id="104" w:name="_Toc217446113"/>
      <w:r>
        <w:rPr>
          <w:rFonts w:hint="eastAsia" w:ascii="宋体" w:hAnsi="宋体" w:eastAsia="宋体" w:cs="宋体"/>
          <w:sz w:val="24"/>
          <w:szCs w:val="24"/>
        </w:rPr>
        <w:t>七、违约责任</w:t>
      </w:r>
      <w:bookmarkEnd w:id="104"/>
    </w:p>
    <w:p>
      <w:pPr>
        <w:pStyle w:val="70"/>
        <w:snapToGrid w:val="0"/>
        <w:spacing w:line="360" w:lineRule="auto"/>
        <w:ind w:firstLine="480"/>
        <w:rPr>
          <w:rFonts w:hAnsi="宋体"/>
          <w:szCs w:val="24"/>
        </w:rPr>
      </w:pPr>
      <w:r>
        <w:rPr>
          <w:rFonts w:hint="eastAsia" w:hAnsi="宋体"/>
          <w:szCs w:val="24"/>
        </w:rPr>
        <w:t>1、甲方违约责任</w:t>
      </w:r>
    </w:p>
    <w:p>
      <w:pPr>
        <w:pStyle w:val="70"/>
        <w:snapToGrid w:val="0"/>
        <w:spacing w:line="360" w:lineRule="auto"/>
        <w:ind w:firstLine="480"/>
        <w:rPr>
          <w:rFonts w:hAnsi="宋体"/>
          <w:szCs w:val="24"/>
        </w:rPr>
      </w:pPr>
      <w:r>
        <w:rPr>
          <w:rFonts w:hint="eastAsia" w:hAnsi="宋体"/>
          <w:szCs w:val="24"/>
        </w:rPr>
        <w:t>（1） 甲方无正当理由拒收货物的，甲方应偿付合同总价＿%的违约金；</w:t>
      </w:r>
    </w:p>
    <w:p>
      <w:pPr>
        <w:pStyle w:val="70"/>
        <w:snapToGrid w:val="0"/>
        <w:spacing w:line="360" w:lineRule="auto"/>
        <w:ind w:firstLine="480"/>
        <w:rPr>
          <w:rFonts w:hAnsi="宋体"/>
          <w:szCs w:val="24"/>
        </w:rPr>
      </w:pPr>
      <w:r>
        <w:rPr>
          <w:rFonts w:hint="eastAsia" w:hAnsi="宋体"/>
          <w:szCs w:val="24"/>
        </w:rPr>
        <w:t>（2） 甲方逾期支付货款的，除应及时付足货款外，应向乙方偿付合同总价＿%/天的违约金；逾期付款超过  天的，乙方有权终止合同；</w:t>
      </w:r>
    </w:p>
    <w:p>
      <w:pPr>
        <w:pStyle w:val="70"/>
        <w:snapToGrid w:val="0"/>
        <w:spacing w:line="360" w:lineRule="auto"/>
        <w:ind w:firstLine="480"/>
        <w:rPr>
          <w:rFonts w:hAnsi="宋体"/>
          <w:szCs w:val="24"/>
        </w:rPr>
      </w:pPr>
      <w:r>
        <w:rPr>
          <w:rFonts w:hint="eastAsia" w:hAnsi="宋体"/>
          <w:szCs w:val="24"/>
        </w:rPr>
        <w:t>（3） 甲方偿付的违约金不足以弥补乙方损失的，还应按乙方损失尚未弥补的部分，据实赔偿给乙方。</w:t>
      </w:r>
    </w:p>
    <w:p>
      <w:pPr>
        <w:pStyle w:val="70"/>
        <w:snapToGrid w:val="0"/>
        <w:spacing w:line="360" w:lineRule="auto"/>
        <w:ind w:firstLine="480"/>
        <w:rPr>
          <w:rFonts w:hAnsi="宋体"/>
          <w:szCs w:val="24"/>
        </w:rPr>
      </w:pPr>
      <w:r>
        <w:rPr>
          <w:rFonts w:hint="eastAsia" w:hAnsi="宋体"/>
          <w:szCs w:val="24"/>
        </w:rPr>
        <w:t>2、乙方违约责任</w:t>
      </w:r>
    </w:p>
    <w:p>
      <w:pPr>
        <w:pStyle w:val="70"/>
        <w:snapToGrid w:val="0"/>
        <w:spacing w:line="360" w:lineRule="auto"/>
        <w:ind w:firstLine="480"/>
        <w:rPr>
          <w:rFonts w:hAnsi="宋体"/>
          <w:szCs w:val="24"/>
        </w:rPr>
      </w:pPr>
      <w:r>
        <w:rPr>
          <w:rFonts w:hint="eastAsia" w:hAnsi="宋体"/>
          <w:szCs w:val="24"/>
        </w:rPr>
        <w:t>（1）乙方交付的货物质量不合格的，须在合同约定的交货时间内更换合格的货物给甲方，否则，视为乙方不能交付货物，乙方应按合同总价的＿%向甲方支付违约金。</w:t>
      </w:r>
    </w:p>
    <w:p>
      <w:pPr>
        <w:pStyle w:val="70"/>
        <w:snapToGrid w:val="0"/>
        <w:spacing w:line="360" w:lineRule="auto"/>
        <w:ind w:firstLine="480"/>
        <w:rPr>
          <w:rFonts w:hAnsi="宋体"/>
          <w:szCs w:val="24"/>
        </w:rPr>
      </w:pPr>
      <w:r>
        <w:rPr>
          <w:rFonts w:hint="eastAsia" w:hAnsi="宋体"/>
          <w:szCs w:val="24"/>
        </w:rPr>
        <w:t>（2）乙方逾期交付货物的，除应及时交足货物外，应向甲方偿付合同总价的</w:t>
      </w:r>
      <w:r>
        <w:rPr>
          <w:rFonts w:hint="eastAsia" w:hAnsi="宋体"/>
          <w:szCs w:val="24"/>
          <w:u w:val="single"/>
        </w:rPr>
        <w:t xml:space="preserve">   %</w:t>
      </w:r>
      <w:r>
        <w:rPr>
          <w:rFonts w:hint="eastAsia" w:hAnsi="宋体"/>
          <w:szCs w:val="24"/>
        </w:rPr>
        <w:t>/天的违约金；逾期交货超过＿天，甲方有权终止合同，乙方则应按合同总价的</w:t>
      </w:r>
      <w:r>
        <w:rPr>
          <w:rFonts w:hAnsi="宋体"/>
          <w:szCs w:val="24"/>
          <w:u w:val="single"/>
        </w:rPr>
        <w:t xml:space="preserve">  %</w:t>
      </w:r>
      <w:r>
        <w:rPr>
          <w:rFonts w:hint="eastAsia" w:hAnsi="宋体"/>
          <w:szCs w:val="24"/>
        </w:rPr>
        <w:t>向甲方偿付违约金，并全额退还甲方已付货款及利息。</w:t>
      </w:r>
    </w:p>
    <w:p>
      <w:pPr>
        <w:pStyle w:val="70"/>
        <w:snapToGrid w:val="0"/>
        <w:spacing w:line="360" w:lineRule="auto"/>
        <w:ind w:firstLine="480"/>
        <w:rPr>
          <w:rFonts w:hAnsi="宋体"/>
          <w:szCs w:val="24"/>
        </w:rPr>
      </w:pPr>
      <w:r>
        <w:rPr>
          <w:rFonts w:hint="eastAsia" w:hAnsi="宋体"/>
          <w:szCs w:val="24"/>
        </w:rPr>
        <w:t>（3）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w:t>
      </w:r>
      <w:r>
        <w:rPr>
          <w:rFonts w:hint="eastAsia" w:hAnsi="宋体"/>
          <w:szCs w:val="24"/>
          <w:u w:val="single"/>
        </w:rPr>
        <w:t xml:space="preserve">  %向甲方偿付违约金</w:t>
      </w:r>
      <w:r>
        <w:rPr>
          <w:rFonts w:hint="eastAsia" w:hAnsi="宋体"/>
          <w:szCs w:val="24"/>
        </w:rPr>
        <w:t>。</w:t>
      </w:r>
    </w:p>
    <w:p>
      <w:pPr>
        <w:pStyle w:val="70"/>
        <w:snapToGrid w:val="0"/>
        <w:spacing w:line="360" w:lineRule="auto"/>
        <w:ind w:firstLine="480"/>
        <w:rPr>
          <w:rFonts w:hAnsi="宋体"/>
          <w:szCs w:val="24"/>
        </w:rPr>
      </w:pPr>
      <w:r>
        <w:rPr>
          <w:rFonts w:hint="eastAsia" w:hAnsi="宋体"/>
          <w:szCs w:val="24"/>
        </w:rPr>
        <w:t>（4）乙方偿付的违约金不足以弥补甲方损失的，还应按甲方损失尚未弥补的部分，据实赔偿给甲方。</w:t>
      </w:r>
    </w:p>
    <w:p>
      <w:pPr>
        <w:pStyle w:val="5"/>
        <w:snapToGrid w:val="0"/>
        <w:spacing w:before="0" w:after="0" w:line="360" w:lineRule="auto"/>
        <w:ind w:firstLine="161" w:firstLineChars="67"/>
        <w:rPr>
          <w:rFonts w:ascii="宋体" w:hAnsi="宋体" w:eastAsia="宋体" w:cs="宋体"/>
          <w:sz w:val="24"/>
          <w:szCs w:val="24"/>
        </w:rPr>
      </w:pPr>
      <w:bookmarkStart w:id="105" w:name="_Toc217446114"/>
      <w:r>
        <w:rPr>
          <w:rFonts w:hint="eastAsia" w:ascii="宋体" w:hAnsi="宋体" w:eastAsia="宋体" w:cs="宋体"/>
          <w:sz w:val="24"/>
          <w:szCs w:val="24"/>
        </w:rPr>
        <w:t>八、争议解决办法</w:t>
      </w:r>
      <w:bookmarkEnd w:id="105"/>
    </w:p>
    <w:p>
      <w:pPr>
        <w:pStyle w:val="70"/>
        <w:snapToGrid w:val="0"/>
        <w:spacing w:line="360" w:lineRule="auto"/>
        <w:ind w:firstLine="480"/>
        <w:rPr>
          <w:rFonts w:hAnsi="宋体"/>
          <w:szCs w:val="24"/>
        </w:rPr>
      </w:pPr>
      <w:r>
        <w:rPr>
          <w:rFonts w:hint="eastAsia" w:hAnsi="宋体"/>
          <w:szCs w:val="24"/>
        </w:rPr>
        <w:t>合同履行期间,若双方发生争议，可协商或由有关部门调解解决，协商或调解不成的，任何一方均可向合同签订地法院起诉。</w:t>
      </w:r>
    </w:p>
    <w:p>
      <w:pPr>
        <w:pStyle w:val="5"/>
        <w:snapToGrid w:val="0"/>
        <w:spacing w:before="0" w:after="0" w:line="360" w:lineRule="auto"/>
        <w:ind w:firstLine="161" w:firstLineChars="67"/>
        <w:rPr>
          <w:rFonts w:ascii="宋体" w:hAnsi="宋体" w:eastAsia="宋体" w:cs="宋体"/>
          <w:sz w:val="24"/>
          <w:szCs w:val="24"/>
        </w:rPr>
      </w:pPr>
      <w:bookmarkStart w:id="106" w:name="_Toc217446115"/>
      <w:r>
        <w:rPr>
          <w:rFonts w:hint="eastAsia" w:ascii="宋体" w:hAnsi="宋体" w:eastAsia="宋体" w:cs="宋体"/>
          <w:sz w:val="24"/>
          <w:szCs w:val="24"/>
        </w:rPr>
        <w:t>九、其他</w:t>
      </w:r>
      <w:bookmarkEnd w:id="106"/>
    </w:p>
    <w:p>
      <w:pPr>
        <w:pStyle w:val="70"/>
        <w:snapToGrid w:val="0"/>
        <w:spacing w:line="360" w:lineRule="auto"/>
        <w:ind w:firstLine="480"/>
        <w:rPr>
          <w:rFonts w:hAnsi="宋体"/>
          <w:szCs w:val="24"/>
        </w:rPr>
      </w:pPr>
      <w:r>
        <w:rPr>
          <w:rFonts w:hint="eastAsia" w:hAnsi="宋体"/>
          <w:szCs w:val="24"/>
        </w:rPr>
        <w:t>1、如有未尽事宜，由双方依法订立补充合同。</w:t>
      </w:r>
    </w:p>
    <w:p>
      <w:pPr>
        <w:pStyle w:val="70"/>
        <w:snapToGrid w:val="0"/>
        <w:spacing w:line="360" w:lineRule="auto"/>
        <w:ind w:firstLine="480"/>
        <w:rPr>
          <w:rFonts w:hAnsi="宋体"/>
          <w:szCs w:val="24"/>
        </w:rPr>
      </w:pPr>
      <w:r>
        <w:rPr>
          <w:rFonts w:hint="eastAsia" w:hAnsi="宋体"/>
          <w:szCs w:val="24"/>
        </w:rPr>
        <w:t>2、本合同一式捌份，自双方签章之日起生效。甲方五份、乙方三份。</w:t>
      </w:r>
    </w:p>
    <w:p>
      <w:pPr>
        <w:pStyle w:val="70"/>
        <w:snapToGrid w:val="0"/>
        <w:spacing w:line="360" w:lineRule="auto"/>
        <w:ind w:firstLine="480"/>
        <w:rPr>
          <w:rFonts w:hAnsi="宋体"/>
          <w:szCs w:val="24"/>
        </w:rPr>
      </w:pPr>
    </w:p>
    <w:p>
      <w:pPr>
        <w:snapToGrid w:val="0"/>
        <w:spacing w:line="360" w:lineRule="auto"/>
        <w:ind w:firstLine="480" w:firstLineChars="200"/>
        <w:rPr>
          <w:rFonts w:hAnsi="宋体" w:cs="宋体"/>
          <w:sz w:val="24"/>
          <w:szCs w:val="24"/>
        </w:rPr>
      </w:pPr>
      <w:r>
        <w:rPr>
          <w:rFonts w:hint="eastAsia" w:hAnsi="宋体" w:cs="宋体"/>
          <w:sz w:val="24"/>
          <w:szCs w:val="24"/>
        </w:rPr>
        <w:t xml:space="preserve">甲方：   （盖章）   </w:t>
      </w:r>
      <w:r>
        <w:rPr>
          <w:rFonts w:hint="eastAsia" w:hAnsi="宋体" w:cs="宋体"/>
          <w:sz w:val="24"/>
          <w:szCs w:val="24"/>
        </w:rPr>
        <w:tab/>
      </w:r>
      <w:r>
        <w:rPr>
          <w:rFonts w:hint="eastAsia" w:hAnsi="宋体" w:cs="宋体"/>
          <w:sz w:val="24"/>
          <w:szCs w:val="24"/>
        </w:rPr>
        <w:tab/>
      </w:r>
      <w:r>
        <w:rPr>
          <w:rFonts w:hint="eastAsia" w:hAnsi="宋体" w:cs="宋体"/>
          <w:sz w:val="24"/>
          <w:szCs w:val="24"/>
        </w:rPr>
        <w:tab/>
      </w:r>
      <w:r>
        <w:rPr>
          <w:rFonts w:hint="eastAsia" w:hAnsi="宋体" w:cs="宋体"/>
          <w:sz w:val="24"/>
          <w:szCs w:val="24"/>
        </w:rPr>
        <w:t xml:space="preserve">   乙方：   （盖章）</w:t>
      </w:r>
    </w:p>
    <w:p>
      <w:pPr>
        <w:snapToGrid w:val="0"/>
        <w:spacing w:line="360" w:lineRule="auto"/>
        <w:ind w:firstLine="480" w:firstLineChars="200"/>
        <w:rPr>
          <w:rFonts w:hAnsi="宋体" w:cs="宋体"/>
          <w:sz w:val="24"/>
          <w:szCs w:val="24"/>
        </w:rPr>
      </w:pPr>
      <w:r>
        <w:rPr>
          <w:rFonts w:hint="eastAsia" w:hAnsi="宋体" w:cs="宋体"/>
          <w:sz w:val="24"/>
          <w:szCs w:val="24"/>
        </w:rPr>
        <w:t>法定代表人（授权代表）：           法定代表人（授权代表）：</w:t>
      </w:r>
    </w:p>
    <w:p>
      <w:pPr>
        <w:snapToGrid w:val="0"/>
        <w:spacing w:line="360" w:lineRule="auto"/>
        <w:ind w:firstLine="480" w:firstLineChars="200"/>
        <w:rPr>
          <w:rFonts w:hAnsi="宋体" w:cs="宋体"/>
          <w:sz w:val="24"/>
          <w:szCs w:val="24"/>
        </w:rPr>
      </w:pPr>
      <w:r>
        <w:rPr>
          <w:rFonts w:hint="eastAsia" w:hAnsi="宋体" w:cs="宋体"/>
          <w:sz w:val="24"/>
          <w:szCs w:val="24"/>
        </w:rPr>
        <w:t>地    址：                         地    址：</w:t>
      </w:r>
    </w:p>
    <w:p>
      <w:pPr>
        <w:snapToGrid w:val="0"/>
        <w:spacing w:line="360" w:lineRule="auto"/>
        <w:ind w:firstLine="480" w:firstLineChars="200"/>
        <w:rPr>
          <w:rFonts w:hAnsi="宋体" w:cs="宋体"/>
          <w:sz w:val="24"/>
          <w:szCs w:val="24"/>
        </w:rPr>
      </w:pPr>
      <w:r>
        <w:rPr>
          <w:rFonts w:hint="eastAsia" w:hAnsi="宋体" w:cs="宋体"/>
          <w:sz w:val="24"/>
          <w:szCs w:val="24"/>
        </w:rPr>
        <w:t>开户银行：                         开户银行：</w:t>
      </w:r>
    </w:p>
    <w:p>
      <w:pPr>
        <w:snapToGrid w:val="0"/>
        <w:spacing w:line="360" w:lineRule="auto"/>
        <w:ind w:firstLine="480" w:firstLineChars="200"/>
        <w:rPr>
          <w:rFonts w:hAnsi="宋体" w:cs="宋体"/>
          <w:sz w:val="24"/>
          <w:szCs w:val="24"/>
        </w:rPr>
      </w:pPr>
      <w:r>
        <w:rPr>
          <w:rFonts w:hint="eastAsia" w:hAnsi="宋体" w:cs="宋体"/>
          <w:sz w:val="24"/>
          <w:szCs w:val="24"/>
        </w:rPr>
        <w:t>账号：                             账号：</w:t>
      </w:r>
    </w:p>
    <w:p>
      <w:pPr>
        <w:snapToGrid w:val="0"/>
        <w:spacing w:line="360" w:lineRule="auto"/>
        <w:ind w:firstLine="480" w:firstLineChars="200"/>
        <w:rPr>
          <w:rFonts w:hAnsi="宋体" w:cs="宋体"/>
          <w:sz w:val="24"/>
          <w:szCs w:val="24"/>
        </w:rPr>
      </w:pPr>
      <w:r>
        <w:rPr>
          <w:rFonts w:hint="eastAsia" w:hAnsi="宋体" w:cs="宋体"/>
          <w:sz w:val="24"/>
          <w:szCs w:val="24"/>
        </w:rPr>
        <w:t>电    话：                         电    话：</w:t>
      </w:r>
    </w:p>
    <w:p>
      <w:pPr>
        <w:snapToGrid w:val="0"/>
        <w:spacing w:line="360" w:lineRule="auto"/>
        <w:ind w:firstLine="480" w:firstLineChars="200"/>
        <w:rPr>
          <w:rFonts w:hAnsi="宋体" w:cs="宋体"/>
          <w:sz w:val="24"/>
          <w:szCs w:val="24"/>
        </w:rPr>
      </w:pPr>
      <w:r>
        <w:rPr>
          <w:rFonts w:hint="eastAsia" w:hAnsi="宋体" w:cs="宋体"/>
          <w:sz w:val="24"/>
          <w:szCs w:val="24"/>
        </w:rPr>
        <w:t>传    真：                         传    真：</w:t>
      </w:r>
    </w:p>
    <w:p>
      <w:pPr>
        <w:snapToGrid w:val="0"/>
        <w:spacing w:line="360" w:lineRule="auto"/>
        <w:ind w:firstLine="480" w:firstLineChars="200"/>
        <w:rPr>
          <w:rFonts w:hAnsi="宋体" w:cs="宋体"/>
          <w:sz w:val="24"/>
          <w:szCs w:val="24"/>
        </w:rPr>
      </w:pPr>
      <w:r>
        <w:rPr>
          <w:rFonts w:hint="eastAsia" w:hAnsi="宋体" w:cs="宋体"/>
          <w:sz w:val="24"/>
          <w:szCs w:val="24"/>
        </w:rPr>
        <w:t xml:space="preserve">签约日期：XX年XX月XX日 </w:t>
      </w:r>
      <w:r>
        <w:rPr>
          <w:rFonts w:hint="eastAsia" w:hAnsi="宋体" w:cs="宋体"/>
          <w:sz w:val="24"/>
          <w:szCs w:val="24"/>
        </w:rPr>
        <w:tab/>
      </w:r>
      <w:r>
        <w:rPr>
          <w:rFonts w:hint="eastAsia" w:hAnsi="宋体" w:cs="宋体"/>
          <w:sz w:val="24"/>
          <w:szCs w:val="24"/>
        </w:rPr>
        <w:tab/>
      </w:r>
      <w:r>
        <w:rPr>
          <w:rFonts w:hint="eastAsia" w:hAnsi="宋体" w:cs="宋体"/>
          <w:sz w:val="24"/>
          <w:szCs w:val="24"/>
        </w:rPr>
        <w:tab/>
      </w:r>
      <w:r>
        <w:rPr>
          <w:rFonts w:hint="eastAsia" w:hAnsi="宋体" w:cs="宋体"/>
          <w:sz w:val="24"/>
          <w:szCs w:val="24"/>
        </w:rPr>
        <w:t>签约日期：XX年XX月XX日</w:t>
      </w:r>
    </w:p>
    <w:p>
      <w:pPr>
        <w:snapToGrid w:val="0"/>
        <w:spacing w:line="360" w:lineRule="auto"/>
        <w:rPr>
          <w:rFonts w:hAnsi="宋体" w:cs="宋体"/>
          <w:sz w:val="24"/>
          <w:szCs w:val="24"/>
        </w:rPr>
      </w:pPr>
    </w:p>
    <w:sectPr>
      <w:pgSz w:w="11906" w:h="16838"/>
      <w:pgMar w:top="1083" w:right="1440" w:bottom="1083" w:left="1440" w:header="851" w:footer="992" w:gutter="0"/>
      <w:cols w:space="720" w:num="1"/>
      <w:docGrid w:type="lines" w:linePitch="4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585" cy="280035"/>
              <wp:effectExtent l="0" t="0" r="5715" b="5715"/>
              <wp:wrapNone/>
              <wp:docPr id="3" name="矩形 1"/>
              <wp:cNvGraphicFramePr/>
              <a:graphic xmlns:a="http://schemas.openxmlformats.org/drawingml/2006/main">
                <a:graphicData uri="http://schemas.microsoft.com/office/word/2010/wordprocessingShape">
                  <wps:wsp>
                    <wps:cNvSpPr>
                      <a:spLocks noChangeArrowheads="1"/>
                    </wps:cNvSpPr>
                    <wps:spPr bwMode="auto">
                      <a:xfrm>
                        <a:off x="0" y="0"/>
                        <a:ext cx="10858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矩形 1" o:spid="_x0000_s1026" o:spt="1" style="position:absolute;left:0pt;margin-top:0pt;height:22.05pt;width:8.55pt;mso-position-horizontal:center;mso-position-horizontal-relative:margin;mso-wrap-style:none;z-index:251659264;mso-width-relative:page;mso-height-relative:page;" filled="f" stroked="f" coordsize="21600,21600" o:gfxdata="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0F47tEAAAADAQAADwAAAAAAAAABACAAAAAiAAAAZHJzL2Rvd25yZXYueG1s&#10;UEsBAhQAFAAAAAgAh07iQJabwZv/AQAA9QMAAA4AAAAAAAAAAQAgAAAAIAEAAGRycy9lMm9Eb2Mu&#10;eG1sUEsFBgAAAAAGAAYAWQEAAJ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16535" cy="280035"/>
              <wp:effectExtent l="0" t="0" r="12065" b="571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1653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22.05pt;width:17.05pt;mso-position-horizontal:center;mso-position-horizontal-relative:margin;mso-wrap-style:none;z-index:251660288;mso-width-relative:page;mso-height-relative:page;" filled="f" stroked="f" coordsize="21600,21600" o:gfxdata="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0qSrRAAAAAwEAAA8AAAAAAAAAAQAgAAAAIgAAAGRycy9kb3ducmV2Lnht&#10;bFBLAQIUABQAAAAIAIdO4kAcC5A5AAIAAPUDAAAOAAAAAAAAAAEAIAAAACABAABkcnMvZTJvRG9j&#10;LnhtbFBLBQYAAAAABgAGAFkBAACS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16535" cy="280035"/>
              <wp:effectExtent l="0" t="0" r="12065" b="5715"/>
              <wp:wrapNone/>
              <wp:docPr id="1" name="矩形 3"/>
              <wp:cNvGraphicFramePr/>
              <a:graphic xmlns:a="http://schemas.openxmlformats.org/drawingml/2006/main">
                <a:graphicData uri="http://schemas.microsoft.com/office/word/2010/wordprocessingShape">
                  <wps:wsp>
                    <wps:cNvSpPr>
                      <a:spLocks noChangeArrowheads="1"/>
                    </wps:cNvSpPr>
                    <wps:spPr bwMode="auto">
                      <a:xfrm>
                        <a:off x="0" y="0"/>
                        <a:ext cx="21653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矩形 3" o:spid="_x0000_s1026" o:spt="1" style="position:absolute;left:0pt;margin-top:0pt;height:22.05pt;width:17.05pt;mso-position-horizontal:center;mso-position-horizontal-relative:margin;mso-wrap-style:none;z-index:251660288;mso-width-relative:page;mso-height-relative:page;" filled="f" stroked="f" coordsize="21600,21600" o:gfxdata="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0qSrRAAAAAwEAAA8AAAAAAAAAAQAgAAAAIgAAAGRycy9kb3ducmV2Lnht&#10;bFBLAQIUABQAAAAIAIdO4kCtrahtAAIAAPUDAAAOAAAAAAAAAAEAIAAAACABAABkcnMvZTJvRG9j&#10;LnhtbFBLBQYAAAAABgAGAFkBAACS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4140"/>
        <w:tab w:val="clear" w:pos="8300"/>
      </w:tabs>
      <w:rPr>
        <w:rFonts w:hAnsi="宋体"/>
      </w:rPr>
    </w:pPr>
    <w:r>
      <w:rPr>
        <w:rFonts w:hint="eastAsia" w:hAnsi="宋体"/>
        <w:lang w:val="en-US" w:eastAsia="zh-CN"/>
      </w:rPr>
      <w:t>2022年度四川铁道职业学院期刊</w:t>
    </w:r>
    <w:r>
      <w:rPr>
        <w:rFonts w:hint="eastAsia" w:hAnsi="宋体"/>
      </w:rPr>
      <w:t>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5500A"/>
    <w:multiLevelType w:val="singleLevel"/>
    <w:tmpl w:val="A635500A"/>
    <w:lvl w:ilvl="0" w:tentative="0">
      <w:start w:val="1"/>
      <w:numFmt w:val="chineseCounting"/>
      <w:suff w:val="nothing"/>
      <w:lvlText w:val="%1、"/>
      <w:lvlJc w:val="left"/>
      <w:rPr>
        <w:rFonts w:hint="eastAsia"/>
      </w:rPr>
    </w:lvl>
  </w:abstractNum>
  <w:abstractNum w:abstractNumId="1">
    <w:nsid w:val="EEE98736"/>
    <w:multiLevelType w:val="singleLevel"/>
    <w:tmpl w:val="EEE98736"/>
    <w:lvl w:ilvl="0" w:tentative="0">
      <w:start w:val="1"/>
      <w:numFmt w:val="decimal"/>
      <w:suff w:val="nothing"/>
      <w:lvlText w:val="%1、"/>
      <w:lvlJc w:val="left"/>
    </w:lvl>
  </w:abstractNum>
  <w:abstractNum w:abstractNumId="2">
    <w:nsid w:val="00000001"/>
    <w:multiLevelType w:val="multilevel"/>
    <w:tmpl w:val="00000001"/>
    <w:lvl w:ilvl="0" w:tentative="0">
      <w:start w:val="2"/>
      <w:numFmt w:val="decimal"/>
      <w:lvlText w:val="（%1）"/>
      <w:lvlJc w:val="left"/>
      <w:pPr>
        <w:ind w:left="1205" w:hanging="72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3">
    <w:nsid w:val="00000002"/>
    <w:multiLevelType w:val="multilevel"/>
    <w:tmpl w:val="00000002"/>
    <w:lvl w:ilvl="0" w:tentative="0">
      <w:start w:val="5"/>
      <w:numFmt w:val="decimal"/>
      <w:lvlText w:val="（%1）"/>
      <w:lvlJc w:val="left"/>
      <w:pPr>
        <w:ind w:left="1205" w:hanging="72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4">
    <w:nsid w:val="00000003"/>
    <w:multiLevelType w:val="singleLevel"/>
    <w:tmpl w:val="00000003"/>
    <w:lvl w:ilvl="0" w:tentative="0">
      <w:start w:val="1"/>
      <w:numFmt w:val="decimal"/>
      <w:suff w:val="nothing"/>
      <w:lvlText w:val="%1、"/>
      <w:lvlJc w:val="left"/>
    </w:lvl>
  </w:abstractNum>
  <w:abstractNum w:abstractNumId="5">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74152DD1"/>
    <w:multiLevelType w:val="multilevel"/>
    <w:tmpl w:val="74152DD1"/>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237"/>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0C"/>
    <w:rsid w:val="0001189E"/>
    <w:rsid w:val="00013F1F"/>
    <w:rsid w:val="00020591"/>
    <w:rsid w:val="00022579"/>
    <w:rsid w:val="000227F3"/>
    <w:rsid w:val="000300FA"/>
    <w:rsid w:val="00034E6A"/>
    <w:rsid w:val="00037883"/>
    <w:rsid w:val="000414D3"/>
    <w:rsid w:val="00062B97"/>
    <w:rsid w:val="00074602"/>
    <w:rsid w:val="00083A44"/>
    <w:rsid w:val="000921E3"/>
    <w:rsid w:val="000955D2"/>
    <w:rsid w:val="000A1BAE"/>
    <w:rsid w:val="000B2D46"/>
    <w:rsid w:val="000C3891"/>
    <w:rsid w:val="000D3C29"/>
    <w:rsid w:val="000E3A51"/>
    <w:rsid w:val="000F0B31"/>
    <w:rsid w:val="00104D52"/>
    <w:rsid w:val="00115F7B"/>
    <w:rsid w:val="0011612A"/>
    <w:rsid w:val="001269FA"/>
    <w:rsid w:val="00142405"/>
    <w:rsid w:val="001433DB"/>
    <w:rsid w:val="0014556F"/>
    <w:rsid w:val="00157635"/>
    <w:rsid w:val="00172A27"/>
    <w:rsid w:val="00181E14"/>
    <w:rsid w:val="0018444E"/>
    <w:rsid w:val="00185388"/>
    <w:rsid w:val="001943F1"/>
    <w:rsid w:val="001A1EDF"/>
    <w:rsid w:val="001A3304"/>
    <w:rsid w:val="001C4C5D"/>
    <w:rsid w:val="001E077D"/>
    <w:rsid w:val="0021094F"/>
    <w:rsid w:val="002114B9"/>
    <w:rsid w:val="0021517F"/>
    <w:rsid w:val="00215D24"/>
    <w:rsid w:val="00231CEA"/>
    <w:rsid w:val="00240D2A"/>
    <w:rsid w:val="00242F03"/>
    <w:rsid w:val="00252539"/>
    <w:rsid w:val="002619F7"/>
    <w:rsid w:val="002740EE"/>
    <w:rsid w:val="002802D2"/>
    <w:rsid w:val="002932A5"/>
    <w:rsid w:val="002945D4"/>
    <w:rsid w:val="00297578"/>
    <w:rsid w:val="002A6490"/>
    <w:rsid w:val="002F3A9D"/>
    <w:rsid w:val="00302533"/>
    <w:rsid w:val="00303BEC"/>
    <w:rsid w:val="0031337F"/>
    <w:rsid w:val="00314D2B"/>
    <w:rsid w:val="00315BFD"/>
    <w:rsid w:val="00330AB4"/>
    <w:rsid w:val="003426C9"/>
    <w:rsid w:val="0034384C"/>
    <w:rsid w:val="00351B66"/>
    <w:rsid w:val="00374997"/>
    <w:rsid w:val="00376338"/>
    <w:rsid w:val="0038282C"/>
    <w:rsid w:val="003A045C"/>
    <w:rsid w:val="003C2094"/>
    <w:rsid w:val="003C49AF"/>
    <w:rsid w:val="003D00DA"/>
    <w:rsid w:val="003D11A5"/>
    <w:rsid w:val="003D4974"/>
    <w:rsid w:val="003D6934"/>
    <w:rsid w:val="003E1BF9"/>
    <w:rsid w:val="0040317E"/>
    <w:rsid w:val="0041087A"/>
    <w:rsid w:val="00412E90"/>
    <w:rsid w:val="00423D03"/>
    <w:rsid w:val="004250DD"/>
    <w:rsid w:val="00431003"/>
    <w:rsid w:val="004368FD"/>
    <w:rsid w:val="00450DBA"/>
    <w:rsid w:val="00451066"/>
    <w:rsid w:val="0046280F"/>
    <w:rsid w:val="00477BEA"/>
    <w:rsid w:val="00484F83"/>
    <w:rsid w:val="004856D2"/>
    <w:rsid w:val="004A0487"/>
    <w:rsid w:val="004A550E"/>
    <w:rsid w:val="004A58BA"/>
    <w:rsid w:val="004B0DBB"/>
    <w:rsid w:val="004B6322"/>
    <w:rsid w:val="004D0C88"/>
    <w:rsid w:val="004E54D8"/>
    <w:rsid w:val="004F0192"/>
    <w:rsid w:val="004F3B9B"/>
    <w:rsid w:val="004F5512"/>
    <w:rsid w:val="004F718A"/>
    <w:rsid w:val="00510855"/>
    <w:rsid w:val="0051463D"/>
    <w:rsid w:val="00523D5E"/>
    <w:rsid w:val="00526EF1"/>
    <w:rsid w:val="00551968"/>
    <w:rsid w:val="005523F9"/>
    <w:rsid w:val="00565D29"/>
    <w:rsid w:val="0057392A"/>
    <w:rsid w:val="0057670A"/>
    <w:rsid w:val="0058164F"/>
    <w:rsid w:val="00581EB4"/>
    <w:rsid w:val="00587168"/>
    <w:rsid w:val="00593373"/>
    <w:rsid w:val="005A011C"/>
    <w:rsid w:val="005A1491"/>
    <w:rsid w:val="005C0690"/>
    <w:rsid w:val="005D660E"/>
    <w:rsid w:val="005D76BC"/>
    <w:rsid w:val="005F3651"/>
    <w:rsid w:val="005F6D20"/>
    <w:rsid w:val="006076D0"/>
    <w:rsid w:val="0064548D"/>
    <w:rsid w:val="0067406A"/>
    <w:rsid w:val="0068224E"/>
    <w:rsid w:val="00691FBB"/>
    <w:rsid w:val="006A04FB"/>
    <w:rsid w:val="006B3B23"/>
    <w:rsid w:val="006B634A"/>
    <w:rsid w:val="006B64B2"/>
    <w:rsid w:val="006C59D1"/>
    <w:rsid w:val="006C7451"/>
    <w:rsid w:val="006E3DDB"/>
    <w:rsid w:val="006F06EF"/>
    <w:rsid w:val="006F4716"/>
    <w:rsid w:val="00712B81"/>
    <w:rsid w:val="00722B66"/>
    <w:rsid w:val="00731735"/>
    <w:rsid w:val="00735742"/>
    <w:rsid w:val="00737A85"/>
    <w:rsid w:val="00740C17"/>
    <w:rsid w:val="007432C8"/>
    <w:rsid w:val="00764FE2"/>
    <w:rsid w:val="0076501E"/>
    <w:rsid w:val="00767976"/>
    <w:rsid w:val="00771D10"/>
    <w:rsid w:val="00786217"/>
    <w:rsid w:val="007956B7"/>
    <w:rsid w:val="007D1094"/>
    <w:rsid w:val="007D60BE"/>
    <w:rsid w:val="007E3542"/>
    <w:rsid w:val="007F62D2"/>
    <w:rsid w:val="00815FBB"/>
    <w:rsid w:val="00823CD6"/>
    <w:rsid w:val="008351A2"/>
    <w:rsid w:val="008465E2"/>
    <w:rsid w:val="00850AE8"/>
    <w:rsid w:val="0085182D"/>
    <w:rsid w:val="00852219"/>
    <w:rsid w:val="00854B0E"/>
    <w:rsid w:val="00861B35"/>
    <w:rsid w:val="00861D35"/>
    <w:rsid w:val="008705D4"/>
    <w:rsid w:val="008721DC"/>
    <w:rsid w:val="008826E8"/>
    <w:rsid w:val="00883CE9"/>
    <w:rsid w:val="008A3275"/>
    <w:rsid w:val="008A372A"/>
    <w:rsid w:val="008A775B"/>
    <w:rsid w:val="008B3F4F"/>
    <w:rsid w:val="008B6A28"/>
    <w:rsid w:val="008C4C5D"/>
    <w:rsid w:val="008D4B57"/>
    <w:rsid w:val="008E283A"/>
    <w:rsid w:val="008F1768"/>
    <w:rsid w:val="008F483A"/>
    <w:rsid w:val="008F5D03"/>
    <w:rsid w:val="00900A6F"/>
    <w:rsid w:val="00907738"/>
    <w:rsid w:val="009123FA"/>
    <w:rsid w:val="00916D1E"/>
    <w:rsid w:val="00927129"/>
    <w:rsid w:val="0093288F"/>
    <w:rsid w:val="00935B90"/>
    <w:rsid w:val="00953907"/>
    <w:rsid w:val="009541A1"/>
    <w:rsid w:val="00956AE4"/>
    <w:rsid w:val="00964782"/>
    <w:rsid w:val="00983489"/>
    <w:rsid w:val="0099747D"/>
    <w:rsid w:val="009976EE"/>
    <w:rsid w:val="009A21CB"/>
    <w:rsid w:val="009B7EC9"/>
    <w:rsid w:val="009D1F47"/>
    <w:rsid w:val="009D23DB"/>
    <w:rsid w:val="009D4EE9"/>
    <w:rsid w:val="009F639B"/>
    <w:rsid w:val="00A0208D"/>
    <w:rsid w:val="00A03414"/>
    <w:rsid w:val="00A075C3"/>
    <w:rsid w:val="00A11CF0"/>
    <w:rsid w:val="00A13D90"/>
    <w:rsid w:val="00A2152A"/>
    <w:rsid w:val="00A225F6"/>
    <w:rsid w:val="00A23C2C"/>
    <w:rsid w:val="00A25C6E"/>
    <w:rsid w:val="00A26126"/>
    <w:rsid w:val="00A27709"/>
    <w:rsid w:val="00A415A9"/>
    <w:rsid w:val="00A57A27"/>
    <w:rsid w:val="00A6034E"/>
    <w:rsid w:val="00A62532"/>
    <w:rsid w:val="00A7009A"/>
    <w:rsid w:val="00A92172"/>
    <w:rsid w:val="00A9666E"/>
    <w:rsid w:val="00AA1D32"/>
    <w:rsid w:val="00AA4F6C"/>
    <w:rsid w:val="00AE0E42"/>
    <w:rsid w:val="00AE5591"/>
    <w:rsid w:val="00B10AC3"/>
    <w:rsid w:val="00B35C4C"/>
    <w:rsid w:val="00B634A6"/>
    <w:rsid w:val="00B92137"/>
    <w:rsid w:val="00BA04EB"/>
    <w:rsid w:val="00BA1E3F"/>
    <w:rsid w:val="00BA7A4D"/>
    <w:rsid w:val="00BD2B90"/>
    <w:rsid w:val="00BE0CDD"/>
    <w:rsid w:val="00BE3EDE"/>
    <w:rsid w:val="00BF5C97"/>
    <w:rsid w:val="00BF6F90"/>
    <w:rsid w:val="00C10464"/>
    <w:rsid w:val="00C11284"/>
    <w:rsid w:val="00C132F6"/>
    <w:rsid w:val="00C15F61"/>
    <w:rsid w:val="00C16CAE"/>
    <w:rsid w:val="00C3181D"/>
    <w:rsid w:val="00C47364"/>
    <w:rsid w:val="00C50C93"/>
    <w:rsid w:val="00C52250"/>
    <w:rsid w:val="00C54697"/>
    <w:rsid w:val="00C70180"/>
    <w:rsid w:val="00C821FD"/>
    <w:rsid w:val="00C82454"/>
    <w:rsid w:val="00C82BBB"/>
    <w:rsid w:val="00C8568F"/>
    <w:rsid w:val="00C93064"/>
    <w:rsid w:val="00CA64F2"/>
    <w:rsid w:val="00CB1E2C"/>
    <w:rsid w:val="00CB78BD"/>
    <w:rsid w:val="00CB7B63"/>
    <w:rsid w:val="00CC5987"/>
    <w:rsid w:val="00CC6ED4"/>
    <w:rsid w:val="00CD004D"/>
    <w:rsid w:val="00CD4587"/>
    <w:rsid w:val="00CE5482"/>
    <w:rsid w:val="00D21B10"/>
    <w:rsid w:val="00D40A36"/>
    <w:rsid w:val="00D40F38"/>
    <w:rsid w:val="00D60F7C"/>
    <w:rsid w:val="00D65F48"/>
    <w:rsid w:val="00D716A0"/>
    <w:rsid w:val="00D72148"/>
    <w:rsid w:val="00D907DF"/>
    <w:rsid w:val="00D91198"/>
    <w:rsid w:val="00D9414E"/>
    <w:rsid w:val="00DA21B8"/>
    <w:rsid w:val="00DB3C91"/>
    <w:rsid w:val="00DC0447"/>
    <w:rsid w:val="00DC4377"/>
    <w:rsid w:val="00DC4A4A"/>
    <w:rsid w:val="00DC6D26"/>
    <w:rsid w:val="00DD2646"/>
    <w:rsid w:val="00DD26EF"/>
    <w:rsid w:val="00DE0AD4"/>
    <w:rsid w:val="00DE1B68"/>
    <w:rsid w:val="00DE4625"/>
    <w:rsid w:val="00DE761B"/>
    <w:rsid w:val="00DF6E1E"/>
    <w:rsid w:val="00E27570"/>
    <w:rsid w:val="00E44A52"/>
    <w:rsid w:val="00E56AF3"/>
    <w:rsid w:val="00E66D51"/>
    <w:rsid w:val="00E73B8A"/>
    <w:rsid w:val="00E742A7"/>
    <w:rsid w:val="00E75F54"/>
    <w:rsid w:val="00E76852"/>
    <w:rsid w:val="00E77F85"/>
    <w:rsid w:val="00E8706F"/>
    <w:rsid w:val="00EA3731"/>
    <w:rsid w:val="00EA6F1B"/>
    <w:rsid w:val="00EC14D2"/>
    <w:rsid w:val="00ED654E"/>
    <w:rsid w:val="00ED6EA0"/>
    <w:rsid w:val="00EE1B3C"/>
    <w:rsid w:val="00EF4DBE"/>
    <w:rsid w:val="00EF7675"/>
    <w:rsid w:val="00F604E1"/>
    <w:rsid w:val="00F82A64"/>
    <w:rsid w:val="00F86B39"/>
    <w:rsid w:val="00FA0D6E"/>
    <w:rsid w:val="00FC5B97"/>
    <w:rsid w:val="00FC5BDA"/>
    <w:rsid w:val="00FC6A75"/>
    <w:rsid w:val="00FD0A36"/>
    <w:rsid w:val="00FD2F96"/>
    <w:rsid w:val="00FF453E"/>
    <w:rsid w:val="00FF58B8"/>
    <w:rsid w:val="01181DD9"/>
    <w:rsid w:val="015B76C5"/>
    <w:rsid w:val="01630F53"/>
    <w:rsid w:val="016853DB"/>
    <w:rsid w:val="017C78FF"/>
    <w:rsid w:val="019C23B2"/>
    <w:rsid w:val="01A26E08"/>
    <w:rsid w:val="01B31FD7"/>
    <w:rsid w:val="01DA1E97"/>
    <w:rsid w:val="01E22B26"/>
    <w:rsid w:val="01E65CA9"/>
    <w:rsid w:val="01E96C2E"/>
    <w:rsid w:val="02335DA9"/>
    <w:rsid w:val="025340DF"/>
    <w:rsid w:val="02B15922"/>
    <w:rsid w:val="02BE378E"/>
    <w:rsid w:val="02DA64AD"/>
    <w:rsid w:val="03012F7E"/>
    <w:rsid w:val="03055CCB"/>
    <w:rsid w:val="030B000A"/>
    <w:rsid w:val="032A2ABD"/>
    <w:rsid w:val="032E14C4"/>
    <w:rsid w:val="03425F66"/>
    <w:rsid w:val="035A40AD"/>
    <w:rsid w:val="036A7B56"/>
    <w:rsid w:val="03731FB8"/>
    <w:rsid w:val="039446EB"/>
    <w:rsid w:val="039C537B"/>
    <w:rsid w:val="03A03D81"/>
    <w:rsid w:val="03D332D6"/>
    <w:rsid w:val="03FC2E16"/>
    <w:rsid w:val="041462BE"/>
    <w:rsid w:val="04467D92"/>
    <w:rsid w:val="044E519E"/>
    <w:rsid w:val="04641540"/>
    <w:rsid w:val="04647342"/>
    <w:rsid w:val="0473604C"/>
    <w:rsid w:val="04785FE3"/>
    <w:rsid w:val="04881B00"/>
    <w:rsid w:val="048C5EC7"/>
    <w:rsid w:val="04B425C4"/>
    <w:rsid w:val="04BA44CE"/>
    <w:rsid w:val="04D253F8"/>
    <w:rsid w:val="04DA3961"/>
    <w:rsid w:val="04E9501D"/>
    <w:rsid w:val="04EF6F26"/>
    <w:rsid w:val="05482E38"/>
    <w:rsid w:val="05665C6B"/>
    <w:rsid w:val="05EB5EC4"/>
    <w:rsid w:val="05FB28DB"/>
    <w:rsid w:val="06040728"/>
    <w:rsid w:val="062515BF"/>
    <w:rsid w:val="063901C2"/>
    <w:rsid w:val="06397DA9"/>
    <w:rsid w:val="065B3BFA"/>
    <w:rsid w:val="0664230B"/>
    <w:rsid w:val="069D7EE6"/>
    <w:rsid w:val="06AF3F0D"/>
    <w:rsid w:val="06B30602"/>
    <w:rsid w:val="06BE3C9E"/>
    <w:rsid w:val="06BF391E"/>
    <w:rsid w:val="06D0743C"/>
    <w:rsid w:val="06DB7966"/>
    <w:rsid w:val="06DE070F"/>
    <w:rsid w:val="06E3065B"/>
    <w:rsid w:val="070D149F"/>
    <w:rsid w:val="07407323"/>
    <w:rsid w:val="0750320D"/>
    <w:rsid w:val="07574AC3"/>
    <w:rsid w:val="0758192B"/>
    <w:rsid w:val="07A36030"/>
    <w:rsid w:val="07BA06BE"/>
    <w:rsid w:val="07DE6533"/>
    <w:rsid w:val="07DF17F7"/>
    <w:rsid w:val="07FD0DA7"/>
    <w:rsid w:val="080055AF"/>
    <w:rsid w:val="080C13C2"/>
    <w:rsid w:val="08380F8C"/>
    <w:rsid w:val="084D6DD4"/>
    <w:rsid w:val="084E78AD"/>
    <w:rsid w:val="085914C1"/>
    <w:rsid w:val="086552D4"/>
    <w:rsid w:val="086D0162"/>
    <w:rsid w:val="08747AEC"/>
    <w:rsid w:val="08822685"/>
    <w:rsid w:val="08870D0B"/>
    <w:rsid w:val="08BA49DD"/>
    <w:rsid w:val="08EC7733"/>
    <w:rsid w:val="092B1819"/>
    <w:rsid w:val="092E279E"/>
    <w:rsid w:val="09343398"/>
    <w:rsid w:val="093870BD"/>
    <w:rsid w:val="093E2A38"/>
    <w:rsid w:val="0955045F"/>
    <w:rsid w:val="09580C0A"/>
    <w:rsid w:val="09F856EA"/>
    <w:rsid w:val="0A164C9A"/>
    <w:rsid w:val="0A3A19D7"/>
    <w:rsid w:val="0AD04A17"/>
    <w:rsid w:val="0AE465EC"/>
    <w:rsid w:val="0AF33383"/>
    <w:rsid w:val="0AF40E05"/>
    <w:rsid w:val="0AF8528D"/>
    <w:rsid w:val="0B0B0A2A"/>
    <w:rsid w:val="0B2631C5"/>
    <w:rsid w:val="0B8251F1"/>
    <w:rsid w:val="0BE85862"/>
    <w:rsid w:val="0C30660E"/>
    <w:rsid w:val="0C5A3BCF"/>
    <w:rsid w:val="0C5E25D5"/>
    <w:rsid w:val="0C9E14DE"/>
    <w:rsid w:val="0CA11F25"/>
    <w:rsid w:val="0CCB0A0B"/>
    <w:rsid w:val="0CFA01E0"/>
    <w:rsid w:val="0D06536D"/>
    <w:rsid w:val="0D1158FC"/>
    <w:rsid w:val="0D1A078A"/>
    <w:rsid w:val="0D1D7190"/>
    <w:rsid w:val="0D3835BD"/>
    <w:rsid w:val="0D8536BD"/>
    <w:rsid w:val="0DC44BFF"/>
    <w:rsid w:val="0DDE5050"/>
    <w:rsid w:val="0DEA0E63"/>
    <w:rsid w:val="0E317059"/>
    <w:rsid w:val="0E7D16D6"/>
    <w:rsid w:val="0E991F00"/>
    <w:rsid w:val="0E9D0906"/>
    <w:rsid w:val="0EA03F84"/>
    <w:rsid w:val="0EB4052B"/>
    <w:rsid w:val="0EBA5CB8"/>
    <w:rsid w:val="0EF21695"/>
    <w:rsid w:val="0F1550CD"/>
    <w:rsid w:val="0F2E087C"/>
    <w:rsid w:val="0F596ABB"/>
    <w:rsid w:val="0F5D0D44"/>
    <w:rsid w:val="0F6A005A"/>
    <w:rsid w:val="0FB04F4B"/>
    <w:rsid w:val="0FCF7D7E"/>
    <w:rsid w:val="100E3442"/>
    <w:rsid w:val="10170173"/>
    <w:rsid w:val="103819AC"/>
    <w:rsid w:val="105656D9"/>
    <w:rsid w:val="10717512"/>
    <w:rsid w:val="10717588"/>
    <w:rsid w:val="109A294A"/>
    <w:rsid w:val="111A0C9A"/>
    <w:rsid w:val="1122192A"/>
    <w:rsid w:val="113C7F55"/>
    <w:rsid w:val="11440BE5"/>
    <w:rsid w:val="11811943"/>
    <w:rsid w:val="11885106"/>
    <w:rsid w:val="11AA4C3A"/>
    <w:rsid w:val="11AC3A8C"/>
    <w:rsid w:val="12255CD4"/>
    <w:rsid w:val="122E65E4"/>
    <w:rsid w:val="1252421A"/>
    <w:rsid w:val="128F7902"/>
    <w:rsid w:val="12AC1431"/>
    <w:rsid w:val="12F066A2"/>
    <w:rsid w:val="12F450A8"/>
    <w:rsid w:val="13045342"/>
    <w:rsid w:val="133D2F1E"/>
    <w:rsid w:val="13935EAB"/>
    <w:rsid w:val="13BD2572"/>
    <w:rsid w:val="13DB629F"/>
    <w:rsid w:val="14044EE5"/>
    <w:rsid w:val="142976A3"/>
    <w:rsid w:val="14580FCB"/>
    <w:rsid w:val="145B58F4"/>
    <w:rsid w:val="148876BD"/>
    <w:rsid w:val="149A4596"/>
    <w:rsid w:val="14A66C6D"/>
    <w:rsid w:val="14EC73E1"/>
    <w:rsid w:val="152A4CC8"/>
    <w:rsid w:val="15364BBA"/>
    <w:rsid w:val="156D0C34"/>
    <w:rsid w:val="15756040"/>
    <w:rsid w:val="15796287"/>
    <w:rsid w:val="15B83632"/>
    <w:rsid w:val="15BC67B5"/>
    <w:rsid w:val="15D72862"/>
    <w:rsid w:val="15E9057E"/>
    <w:rsid w:val="15EB3A81"/>
    <w:rsid w:val="15EB7304"/>
    <w:rsid w:val="15F1340C"/>
    <w:rsid w:val="16387403"/>
    <w:rsid w:val="166D588D"/>
    <w:rsid w:val="167539E5"/>
    <w:rsid w:val="1694429A"/>
    <w:rsid w:val="16C95754"/>
    <w:rsid w:val="172F6697"/>
    <w:rsid w:val="17332B1E"/>
    <w:rsid w:val="173A446A"/>
    <w:rsid w:val="17550AD5"/>
    <w:rsid w:val="175C045F"/>
    <w:rsid w:val="176B30C3"/>
    <w:rsid w:val="1780519C"/>
    <w:rsid w:val="1784532C"/>
    <w:rsid w:val="17A553DC"/>
    <w:rsid w:val="17B0376D"/>
    <w:rsid w:val="17C77B0F"/>
    <w:rsid w:val="17DC4231"/>
    <w:rsid w:val="17E838C7"/>
    <w:rsid w:val="18104A8B"/>
    <w:rsid w:val="18147F52"/>
    <w:rsid w:val="18322A41"/>
    <w:rsid w:val="185E6D88"/>
    <w:rsid w:val="186C3B20"/>
    <w:rsid w:val="18825CC3"/>
    <w:rsid w:val="18A90101"/>
    <w:rsid w:val="19024013"/>
    <w:rsid w:val="19044F98"/>
    <w:rsid w:val="1910462E"/>
    <w:rsid w:val="19316345"/>
    <w:rsid w:val="19360FEA"/>
    <w:rsid w:val="19451A88"/>
    <w:rsid w:val="196056B2"/>
    <w:rsid w:val="19782D58"/>
    <w:rsid w:val="19B02EB2"/>
    <w:rsid w:val="19B83B42"/>
    <w:rsid w:val="19D4436C"/>
    <w:rsid w:val="1A306C84"/>
    <w:rsid w:val="1A3E5E28"/>
    <w:rsid w:val="1A4B0B32"/>
    <w:rsid w:val="1A7267F4"/>
    <w:rsid w:val="1A811BDF"/>
    <w:rsid w:val="1A8E28A0"/>
    <w:rsid w:val="1AA56775"/>
    <w:rsid w:val="1AAE7552"/>
    <w:rsid w:val="1ADD2620"/>
    <w:rsid w:val="1AEB73B7"/>
    <w:rsid w:val="1AED613D"/>
    <w:rsid w:val="1B685A87"/>
    <w:rsid w:val="1B6C0C0A"/>
    <w:rsid w:val="1B6D668B"/>
    <w:rsid w:val="1B835BE0"/>
    <w:rsid w:val="1B933D1E"/>
    <w:rsid w:val="1BDB6CBF"/>
    <w:rsid w:val="1BE453D0"/>
    <w:rsid w:val="1BEE3761"/>
    <w:rsid w:val="1C091D8D"/>
    <w:rsid w:val="1C7723C1"/>
    <w:rsid w:val="1C820752"/>
    <w:rsid w:val="1C993BFA"/>
    <w:rsid w:val="1CC41D1F"/>
    <w:rsid w:val="1CD714E1"/>
    <w:rsid w:val="1CDB5968"/>
    <w:rsid w:val="1CE56DF0"/>
    <w:rsid w:val="1CEA2747"/>
    <w:rsid w:val="1CF0217A"/>
    <w:rsid w:val="1D5133A9"/>
    <w:rsid w:val="1D5D3876"/>
    <w:rsid w:val="1D6F2FE0"/>
    <w:rsid w:val="1D722AE5"/>
    <w:rsid w:val="1D7B3732"/>
    <w:rsid w:val="1DBA1246"/>
    <w:rsid w:val="1E3D1A9F"/>
    <w:rsid w:val="1E5209CD"/>
    <w:rsid w:val="1E574E55"/>
    <w:rsid w:val="1E6366E9"/>
    <w:rsid w:val="1E711282"/>
    <w:rsid w:val="1E7A630E"/>
    <w:rsid w:val="1ED46DCB"/>
    <w:rsid w:val="1ED50FA6"/>
    <w:rsid w:val="1F400656"/>
    <w:rsid w:val="1F535FF1"/>
    <w:rsid w:val="1F672A94"/>
    <w:rsid w:val="1F7D6E36"/>
    <w:rsid w:val="1F81583C"/>
    <w:rsid w:val="1FB13E0C"/>
    <w:rsid w:val="1FBE0F24"/>
    <w:rsid w:val="1FD01F30"/>
    <w:rsid w:val="2006711A"/>
    <w:rsid w:val="20142D95"/>
    <w:rsid w:val="202F6C59"/>
    <w:rsid w:val="203F776D"/>
    <w:rsid w:val="20580F11"/>
    <w:rsid w:val="207E5ADF"/>
    <w:rsid w:val="2093697E"/>
    <w:rsid w:val="209443FF"/>
    <w:rsid w:val="20C95348"/>
    <w:rsid w:val="20D14264"/>
    <w:rsid w:val="20E144FE"/>
    <w:rsid w:val="20E9518E"/>
    <w:rsid w:val="21207866"/>
    <w:rsid w:val="217C217E"/>
    <w:rsid w:val="21A223BE"/>
    <w:rsid w:val="21A3015D"/>
    <w:rsid w:val="21BC2F68"/>
    <w:rsid w:val="21D96C95"/>
    <w:rsid w:val="21DE0F1E"/>
    <w:rsid w:val="21E94D31"/>
    <w:rsid w:val="22004956"/>
    <w:rsid w:val="22077B64"/>
    <w:rsid w:val="223076A3"/>
    <w:rsid w:val="22445CAC"/>
    <w:rsid w:val="229009C2"/>
    <w:rsid w:val="230C2B7A"/>
    <w:rsid w:val="232C45F5"/>
    <w:rsid w:val="23574571"/>
    <w:rsid w:val="235C138F"/>
    <w:rsid w:val="23A52A88"/>
    <w:rsid w:val="23C478CF"/>
    <w:rsid w:val="23D93E78"/>
    <w:rsid w:val="23DB76DF"/>
    <w:rsid w:val="2431266C"/>
    <w:rsid w:val="245965D5"/>
    <w:rsid w:val="247B506A"/>
    <w:rsid w:val="24AE0D3C"/>
    <w:rsid w:val="251251DD"/>
    <w:rsid w:val="25267701"/>
    <w:rsid w:val="25392E9F"/>
    <w:rsid w:val="253B7A11"/>
    <w:rsid w:val="254060AD"/>
    <w:rsid w:val="25556F4C"/>
    <w:rsid w:val="25A14E4D"/>
    <w:rsid w:val="25BC3478"/>
    <w:rsid w:val="26066D6F"/>
    <w:rsid w:val="261C0F13"/>
    <w:rsid w:val="261E7C99"/>
    <w:rsid w:val="263465BA"/>
    <w:rsid w:val="26365340"/>
    <w:rsid w:val="26770328"/>
    <w:rsid w:val="268044BB"/>
    <w:rsid w:val="26842EC1"/>
    <w:rsid w:val="269363C3"/>
    <w:rsid w:val="26D12FC0"/>
    <w:rsid w:val="26E25459"/>
    <w:rsid w:val="26E32EDA"/>
    <w:rsid w:val="26FE3DD4"/>
    <w:rsid w:val="2701728E"/>
    <w:rsid w:val="272557B3"/>
    <w:rsid w:val="27683133"/>
    <w:rsid w:val="27777ECB"/>
    <w:rsid w:val="278E3373"/>
    <w:rsid w:val="27A27E15"/>
    <w:rsid w:val="27A6429D"/>
    <w:rsid w:val="27D25539"/>
    <w:rsid w:val="27E078FA"/>
    <w:rsid w:val="28046835"/>
    <w:rsid w:val="281B09D9"/>
    <w:rsid w:val="281B645A"/>
    <w:rsid w:val="28431558"/>
    <w:rsid w:val="28673056"/>
    <w:rsid w:val="28883996"/>
    <w:rsid w:val="28E726AB"/>
    <w:rsid w:val="290968DD"/>
    <w:rsid w:val="290D66EE"/>
    <w:rsid w:val="293C4333"/>
    <w:rsid w:val="293D5638"/>
    <w:rsid w:val="295918A1"/>
    <w:rsid w:val="2969197F"/>
    <w:rsid w:val="2970130A"/>
    <w:rsid w:val="29857C3C"/>
    <w:rsid w:val="2A0C1188"/>
    <w:rsid w:val="2A16531B"/>
    <w:rsid w:val="2A17081E"/>
    <w:rsid w:val="2A4E2EF7"/>
    <w:rsid w:val="2A75287D"/>
    <w:rsid w:val="2A7917BC"/>
    <w:rsid w:val="2A982071"/>
    <w:rsid w:val="2ABD7C60"/>
    <w:rsid w:val="2B5B432E"/>
    <w:rsid w:val="2B9D3E9D"/>
    <w:rsid w:val="2BC517DF"/>
    <w:rsid w:val="2BCF20EE"/>
    <w:rsid w:val="2BD74F7C"/>
    <w:rsid w:val="2BE07E0A"/>
    <w:rsid w:val="2C0F0959"/>
    <w:rsid w:val="2C1A6CEA"/>
    <w:rsid w:val="2C202DF2"/>
    <w:rsid w:val="2C594D78"/>
    <w:rsid w:val="2C61165D"/>
    <w:rsid w:val="2C74067E"/>
    <w:rsid w:val="2C784B05"/>
    <w:rsid w:val="2C952DB1"/>
    <w:rsid w:val="2C9F1142"/>
    <w:rsid w:val="2CB126E1"/>
    <w:rsid w:val="2CB35BE4"/>
    <w:rsid w:val="2CB8206C"/>
    <w:rsid w:val="2CC1297B"/>
    <w:rsid w:val="2D121481"/>
    <w:rsid w:val="2D3D5B48"/>
    <w:rsid w:val="2D431C50"/>
    <w:rsid w:val="2D5A1875"/>
    <w:rsid w:val="2D5A7676"/>
    <w:rsid w:val="2D5C4D78"/>
    <w:rsid w:val="2D680B8A"/>
    <w:rsid w:val="2D6E0259"/>
    <w:rsid w:val="2D963C58"/>
    <w:rsid w:val="2DB3100A"/>
    <w:rsid w:val="2DB81C0E"/>
    <w:rsid w:val="2DC0289E"/>
    <w:rsid w:val="2E033291"/>
    <w:rsid w:val="2E246D3F"/>
    <w:rsid w:val="2E316055"/>
    <w:rsid w:val="2E521E0D"/>
    <w:rsid w:val="2E5D6548"/>
    <w:rsid w:val="2E870FE2"/>
    <w:rsid w:val="2EF67098"/>
    <w:rsid w:val="2F043E2F"/>
    <w:rsid w:val="2F31727D"/>
    <w:rsid w:val="2F5B483E"/>
    <w:rsid w:val="2FDE4E17"/>
    <w:rsid w:val="300A115E"/>
    <w:rsid w:val="301F08EA"/>
    <w:rsid w:val="303D7F63"/>
    <w:rsid w:val="306B5D4B"/>
    <w:rsid w:val="30711E07"/>
    <w:rsid w:val="30792A97"/>
    <w:rsid w:val="30817EA3"/>
    <w:rsid w:val="308952B0"/>
    <w:rsid w:val="308D3CB6"/>
    <w:rsid w:val="30A30058"/>
    <w:rsid w:val="30AC7C7A"/>
    <w:rsid w:val="30E80B4C"/>
    <w:rsid w:val="312B28BA"/>
    <w:rsid w:val="312F34BF"/>
    <w:rsid w:val="313C4D53"/>
    <w:rsid w:val="314C0871"/>
    <w:rsid w:val="31575E16"/>
    <w:rsid w:val="317503B0"/>
    <w:rsid w:val="319A2078"/>
    <w:rsid w:val="319D7376"/>
    <w:rsid w:val="31B02B14"/>
    <w:rsid w:val="320A1F29"/>
    <w:rsid w:val="320F2B2D"/>
    <w:rsid w:val="32106030"/>
    <w:rsid w:val="324D5E95"/>
    <w:rsid w:val="326D0948"/>
    <w:rsid w:val="329F430C"/>
    <w:rsid w:val="32CC1FE7"/>
    <w:rsid w:val="32D94927"/>
    <w:rsid w:val="32E95D13"/>
    <w:rsid w:val="336268C9"/>
    <w:rsid w:val="33701470"/>
    <w:rsid w:val="337558F7"/>
    <w:rsid w:val="33BB6CF3"/>
    <w:rsid w:val="33BE2874"/>
    <w:rsid w:val="33E85C36"/>
    <w:rsid w:val="33E97114"/>
    <w:rsid w:val="342966A0"/>
    <w:rsid w:val="342B1BA3"/>
    <w:rsid w:val="34475748"/>
    <w:rsid w:val="346A4F0B"/>
    <w:rsid w:val="346E7194"/>
    <w:rsid w:val="348801E5"/>
    <w:rsid w:val="349C184B"/>
    <w:rsid w:val="34A15065"/>
    <w:rsid w:val="34B465B6"/>
    <w:rsid w:val="34E735DB"/>
    <w:rsid w:val="34EC41DF"/>
    <w:rsid w:val="34FB4DBF"/>
    <w:rsid w:val="350F11E8"/>
    <w:rsid w:val="35366BDD"/>
    <w:rsid w:val="356B3AE7"/>
    <w:rsid w:val="35915FF2"/>
    <w:rsid w:val="35A230B5"/>
    <w:rsid w:val="35A23D0E"/>
    <w:rsid w:val="35DE2F0C"/>
    <w:rsid w:val="35F36F90"/>
    <w:rsid w:val="35FE2DA3"/>
    <w:rsid w:val="36374475"/>
    <w:rsid w:val="3696201C"/>
    <w:rsid w:val="36973514"/>
    <w:rsid w:val="36C572E8"/>
    <w:rsid w:val="36C727EB"/>
    <w:rsid w:val="36E01197"/>
    <w:rsid w:val="371428EB"/>
    <w:rsid w:val="3720417F"/>
    <w:rsid w:val="37266088"/>
    <w:rsid w:val="372C44B0"/>
    <w:rsid w:val="37537E51"/>
    <w:rsid w:val="37564659"/>
    <w:rsid w:val="37712C84"/>
    <w:rsid w:val="379263CB"/>
    <w:rsid w:val="37982063"/>
    <w:rsid w:val="37A36CD7"/>
    <w:rsid w:val="37B0262F"/>
    <w:rsid w:val="37BE7480"/>
    <w:rsid w:val="37EA4BED"/>
    <w:rsid w:val="37F00FD4"/>
    <w:rsid w:val="38196915"/>
    <w:rsid w:val="381F62A0"/>
    <w:rsid w:val="38225026"/>
    <w:rsid w:val="38321B78"/>
    <w:rsid w:val="385122F2"/>
    <w:rsid w:val="385D1988"/>
    <w:rsid w:val="386A541B"/>
    <w:rsid w:val="38777FB4"/>
    <w:rsid w:val="387F1B3D"/>
    <w:rsid w:val="38822AC1"/>
    <w:rsid w:val="388572C9"/>
    <w:rsid w:val="38D73850"/>
    <w:rsid w:val="39093C9F"/>
    <w:rsid w:val="391E6B91"/>
    <w:rsid w:val="394E4794"/>
    <w:rsid w:val="39916502"/>
    <w:rsid w:val="39A62C24"/>
    <w:rsid w:val="39BC6E71"/>
    <w:rsid w:val="39ED5597"/>
    <w:rsid w:val="3A201269"/>
    <w:rsid w:val="3A22476C"/>
    <w:rsid w:val="3A5D0BDB"/>
    <w:rsid w:val="3A5F086E"/>
    <w:rsid w:val="3A883217"/>
    <w:rsid w:val="3A941228"/>
    <w:rsid w:val="3AC6527A"/>
    <w:rsid w:val="3B063AE5"/>
    <w:rsid w:val="3B0A1D81"/>
    <w:rsid w:val="3B251A37"/>
    <w:rsid w:val="3B6C7337"/>
    <w:rsid w:val="3B806D64"/>
    <w:rsid w:val="3BB1414D"/>
    <w:rsid w:val="3BBF5492"/>
    <w:rsid w:val="3BED2ADE"/>
    <w:rsid w:val="3C045F86"/>
    <w:rsid w:val="3C0A7E90"/>
    <w:rsid w:val="3C2A4B41"/>
    <w:rsid w:val="3C317D4F"/>
    <w:rsid w:val="3C3E7065"/>
    <w:rsid w:val="3C62051E"/>
    <w:rsid w:val="3C9660A1"/>
    <w:rsid w:val="3CD54FDA"/>
    <w:rsid w:val="3CEE0102"/>
    <w:rsid w:val="3CFD619E"/>
    <w:rsid w:val="3D246E8B"/>
    <w:rsid w:val="3D313175"/>
    <w:rsid w:val="3D72615D"/>
    <w:rsid w:val="3D822D1E"/>
    <w:rsid w:val="3D8E5880"/>
    <w:rsid w:val="3DA962B7"/>
    <w:rsid w:val="3DDF0D0F"/>
    <w:rsid w:val="3DEE3528"/>
    <w:rsid w:val="3DF379B0"/>
    <w:rsid w:val="3DF52EB3"/>
    <w:rsid w:val="3DFD5D41"/>
    <w:rsid w:val="3E040F4F"/>
    <w:rsid w:val="3E667CEF"/>
    <w:rsid w:val="3E706080"/>
    <w:rsid w:val="3E900B33"/>
    <w:rsid w:val="3E9C23C7"/>
    <w:rsid w:val="3EAF5B65"/>
    <w:rsid w:val="3EEE694E"/>
    <w:rsid w:val="3F1E169C"/>
    <w:rsid w:val="3F5301DE"/>
    <w:rsid w:val="3F5C2D71"/>
    <w:rsid w:val="3F7755AE"/>
    <w:rsid w:val="3F954B5E"/>
    <w:rsid w:val="3FBD249F"/>
    <w:rsid w:val="3FF461FC"/>
    <w:rsid w:val="3FF82684"/>
    <w:rsid w:val="40464981"/>
    <w:rsid w:val="40562A1D"/>
    <w:rsid w:val="406A2535"/>
    <w:rsid w:val="406E00C4"/>
    <w:rsid w:val="40741FCD"/>
    <w:rsid w:val="40957F84"/>
    <w:rsid w:val="409C7F95"/>
    <w:rsid w:val="40B21AB2"/>
    <w:rsid w:val="41331DD1"/>
    <w:rsid w:val="41333305"/>
    <w:rsid w:val="415006B7"/>
    <w:rsid w:val="415C0D58"/>
    <w:rsid w:val="419249A3"/>
    <w:rsid w:val="41957B26"/>
    <w:rsid w:val="419868AD"/>
    <w:rsid w:val="4199652C"/>
    <w:rsid w:val="419F4B9D"/>
    <w:rsid w:val="41B403DB"/>
    <w:rsid w:val="42014C57"/>
    <w:rsid w:val="42307D25"/>
    <w:rsid w:val="425B65EB"/>
    <w:rsid w:val="42C76F9F"/>
    <w:rsid w:val="42CC5625"/>
    <w:rsid w:val="42D2752E"/>
    <w:rsid w:val="43296B6C"/>
    <w:rsid w:val="436832A5"/>
    <w:rsid w:val="43C97374"/>
    <w:rsid w:val="43CE2645"/>
    <w:rsid w:val="43EC5A7C"/>
    <w:rsid w:val="44146C41"/>
    <w:rsid w:val="44524527"/>
    <w:rsid w:val="445F7FB9"/>
    <w:rsid w:val="446B2085"/>
    <w:rsid w:val="447E4FEB"/>
    <w:rsid w:val="448623F7"/>
    <w:rsid w:val="448C15B9"/>
    <w:rsid w:val="449B1E65"/>
    <w:rsid w:val="44D16FF4"/>
    <w:rsid w:val="44EA599F"/>
    <w:rsid w:val="45206C3C"/>
    <w:rsid w:val="45225AF9"/>
    <w:rsid w:val="456B24AD"/>
    <w:rsid w:val="456C5311"/>
    <w:rsid w:val="459F0946"/>
    <w:rsid w:val="45A324F9"/>
    <w:rsid w:val="45C75F46"/>
    <w:rsid w:val="45CA500D"/>
    <w:rsid w:val="45EF19CA"/>
    <w:rsid w:val="46117980"/>
    <w:rsid w:val="462640A2"/>
    <w:rsid w:val="462A632B"/>
    <w:rsid w:val="462E6F30"/>
    <w:rsid w:val="4679192E"/>
    <w:rsid w:val="468E7B13"/>
    <w:rsid w:val="46CA0433"/>
    <w:rsid w:val="46CE1038"/>
    <w:rsid w:val="46D77749"/>
    <w:rsid w:val="46F6477A"/>
    <w:rsid w:val="47064A15"/>
    <w:rsid w:val="47220AC2"/>
    <w:rsid w:val="472A5ECE"/>
    <w:rsid w:val="472F2356"/>
    <w:rsid w:val="47380A67"/>
    <w:rsid w:val="474B1C86"/>
    <w:rsid w:val="474E2C0B"/>
    <w:rsid w:val="47626028"/>
    <w:rsid w:val="47656FAD"/>
    <w:rsid w:val="47670FEE"/>
    <w:rsid w:val="47B76948"/>
    <w:rsid w:val="47B76DB7"/>
    <w:rsid w:val="47E0217A"/>
    <w:rsid w:val="47E64083"/>
    <w:rsid w:val="480B0A3F"/>
    <w:rsid w:val="486731C6"/>
    <w:rsid w:val="48775B70"/>
    <w:rsid w:val="487A2378"/>
    <w:rsid w:val="4891671A"/>
    <w:rsid w:val="48B05EC6"/>
    <w:rsid w:val="48F54240"/>
    <w:rsid w:val="48FE27EA"/>
    <w:rsid w:val="490152F9"/>
    <w:rsid w:val="49092EE1"/>
    <w:rsid w:val="4942653E"/>
    <w:rsid w:val="49512C42"/>
    <w:rsid w:val="4966327A"/>
    <w:rsid w:val="496C5184"/>
    <w:rsid w:val="497E7EEE"/>
    <w:rsid w:val="49963DC9"/>
    <w:rsid w:val="499D5953"/>
    <w:rsid w:val="49A330DF"/>
    <w:rsid w:val="49A91765"/>
    <w:rsid w:val="49AB3298"/>
    <w:rsid w:val="49C16E0C"/>
    <w:rsid w:val="4A152119"/>
    <w:rsid w:val="4A1C3CA2"/>
    <w:rsid w:val="4A5B32E8"/>
    <w:rsid w:val="4A7346B1"/>
    <w:rsid w:val="4A7843BC"/>
    <w:rsid w:val="4A8017C9"/>
    <w:rsid w:val="4A8E6560"/>
    <w:rsid w:val="4AC12232"/>
    <w:rsid w:val="4B1E4B4A"/>
    <w:rsid w:val="4B3734F6"/>
    <w:rsid w:val="4B383175"/>
    <w:rsid w:val="4B6F10D1"/>
    <w:rsid w:val="4BAA21AF"/>
    <w:rsid w:val="4BAB7C31"/>
    <w:rsid w:val="4C250016"/>
    <w:rsid w:val="4C5C7A55"/>
    <w:rsid w:val="4C8E3AA7"/>
    <w:rsid w:val="4CB14F60"/>
    <w:rsid w:val="4CB95DDF"/>
    <w:rsid w:val="4CBC6B75"/>
    <w:rsid w:val="4CBD45F6"/>
    <w:rsid w:val="4CCD4891"/>
    <w:rsid w:val="4CFA2DD6"/>
    <w:rsid w:val="4D0C4A13"/>
    <w:rsid w:val="4D490E08"/>
    <w:rsid w:val="4DC062CE"/>
    <w:rsid w:val="4DC34742"/>
    <w:rsid w:val="4DCF24C6"/>
    <w:rsid w:val="4DF30DF0"/>
    <w:rsid w:val="4DF420F5"/>
    <w:rsid w:val="4E001A1B"/>
    <w:rsid w:val="4E077A90"/>
    <w:rsid w:val="4E19322E"/>
    <w:rsid w:val="4E2F31D3"/>
    <w:rsid w:val="4E7A454C"/>
    <w:rsid w:val="4E914171"/>
    <w:rsid w:val="4EB621B3"/>
    <w:rsid w:val="4EBF34EE"/>
    <w:rsid w:val="4F01352B"/>
    <w:rsid w:val="4F124ACB"/>
    <w:rsid w:val="4F3A6B88"/>
    <w:rsid w:val="4F4D42D8"/>
    <w:rsid w:val="4F700845"/>
    <w:rsid w:val="4F9F2130"/>
    <w:rsid w:val="4FFD5B90"/>
    <w:rsid w:val="50651CDA"/>
    <w:rsid w:val="50DA6423"/>
    <w:rsid w:val="50E86BA6"/>
    <w:rsid w:val="5109751A"/>
    <w:rsid w:val="514A216C"/>
    <w:rsid w:val="51594984"/>
    <w:rsid w:val="51AC153D"/>
    <w:rsid w:val="51DE0461"/>
    <w:rsid w:val="51E754ED"/>
    <w:rsid w:val="51F46D81"/>
    <w:rsid w:val="521066B1"/>
    <w:rsid w:val="52116C97"/>
    <w:rsid w:val="522917DA"/>
    <w:rsid w:val="522D01E0"/>
    <w:rsid w:val="524E3F98"/>
    <w:rsid w:val="526D31C8"/>
    <w:rsid w:val="52964CB1"/>
    <w:rsid w:val="52AA302D"/>
    <w:rsid w:val="52AA68B0"/>
    <w:rsid w:val="52AC6530"/>
    <w:rsid w:val="52B513BE"/>
    <w:rsid w:val="52BB0D49"/>
    <w:rsid w:val="52C319D8"/>
    <w:rsid w:val="52F23421"/>
    <w:rsid w:val="52F7312C"/>
    <w:rsid w:val="53406363"/>
    <w:rsid w:val="53614D5A"/>
    <w:rsid w:val="53DF5628"/>
    <w:rsid w:val="53F6304F"/>
    <w:rsid w:val="54103BF9"/>
    <w:rsid w:val="542776F4"/>
    <w:rsid w:val="544817D4"/>
    <w:rsid w:val="547F7730"/>
    <w:rsid w:val="548B5741"/>
    <w:rsid w:val="54C02717"/>
    <w:rsid w:val="54C620A2"/>
    <w:rsid w:val="54D21907"/>
    <w:rsid w:val="54E028C4"/>
    <w:rsid w:val="54FA15F8"/>
    <w:rsid w:val="54FF3501"/>
    <w:rsid w:val="550F159D"/>
    <w:rsid w:val="552B7848"/>
    <w:rsid w:val="55373232"/>
    <w:rsid w:val="55401D6C"/>
    <w:rsid w:val="55454EF7"/>
    <w:rsid w:val="555723A7"/>
    <w:rsid w:val="55867A33"/>
    <w:rsid w:val="55893465"/>
    <w:rsid w:val="55922A70"/>
    <w:rsid w:val="55C4510D"/>
    <w:rsid w:val="55CC73D2"/>
    <w:rsid w:val="55D53D83"/>
    <w:rsid w:val="56037691"/>
    <w:rsid w:val="5604532D"/>
    <w:rsid w:val="561577C6"/>
    <w:rsid w:val="561B4F52"/>
    <w:rsid w:val="56226ADC"/>
    <w:rsid w:val="56257A60"/>
    <w:rsid w:val="56424E12"/>
    <w:rsid w:val="56A26130"/>
    <w:rsid w:val="56E65920"/>
    <w:rsid w:val="57152BEC"/>
    <w:rsid w:val="571E12FD"/>
    <w:rsid w:val="57271C0D"/>
    <w:rsid w:val="5735569F"/>
    <w:rsid w:val="573B502A"/>
    <w:rsid w:val="57472BEF"/>
    <w:rsid w:val="574A003F"/>
    <w:rsid w:val="574C0B47"/>
    <w:rsid w:val="57753F0A"/>
    <w:rsid w:val="577E261B"/>
    <w:rsid w:val="577E790E"/>
    <w:rsid w:val="57975744"/>
    <w:rsid w:val="579A66C8"/>
    <w:rsid w:val="57A046BB"/>
    <w:rsid w:val="57CB6E97"/>
    <w:rsid w:val="57EA3EC9"/>
    <w:rsid w:val="58021570"/>
    <w:rsid w:val="581F309E"/>
    <w:rsid w:val="582B01B6"/>
    <w:rsid w:val="583974CB"/>
    <w:rsid w:val="5854137A"/>
    <w:rsid w:val="58587D80"/>
    <w:rsid w:val="589233DD"/>
    <w:rsid w:val="58B4529D"/>
    <w:rsid w:val="58C603B4"/>
    <w:rsid w:val="58D36F7C"/>
    <w:rsid w:val="58EF7EF3"/>
    <w:rsid w:val="590B30A7"/>
    <w:rsid w:val="592D105D"/>
    <w:rsid w:val="59311C62"/>
    <w:rsid w:val="59635CB4"/>
    <w:rsid w:val="59785C59"/>
    <w:rsid w:val="59820767"/>
    <w:rsid w:val="59AF6DE8"/>
    <w:rsid w:val="59C0604D"/>
    <w:rsid w:val="5A0C4E48"/>
    <w:rsid w:val="5A47502D"/>
    <w:rsid w:val="5A5468C1"/>
    <w:rsid w:val="5A7D1C84"/>
    <w:rsid w:val="5A9A37B2"/>
    <w:rsid w:val="5A9E21B8"/>
    <w:rsid w:val="5AB630E2"/>
    <w:rsid w:val="5ACA6500"/>
    <w:rsid w:val="5AD51FE0"/>
    <w:rsid w:val="5AFD3754"/>
    <w:rsid w:val="5B1024F7"/>
    <w:rsid w:val="5B140EFE"/>
    <w:rsid w:val="5B3B333C"/>
    <w:rsid w:val="5B432946"/>
    <w:rsid w:val="5B690A8E"/>
    <w:rsid w:val="5B7F079B"/>
    <w:rsid w:val="5B895639"/>
    <w:rsid w:val="5B914F79"/>
    <w:rsid w:val="5B9723D0"/>
    <w:rsid w:val="5B9E1D5B"/>
    <w:rsid w:val="5C0A490D"/>
    <w:rsid w:val="5C1761A2"/>
    <w:rsid w:val="5C576F8B"/>
    <w:rsid w:val="5C7774C0"/>
    <w:rsid w:val="5CD37BDA"/>
    <w:rsid w:val="5CD4565B"/>
    <w:rsid w:val="5CEA77FF"/>
    <w:rsid w:val="5D1E0F52"/>
    <w:rsid w:val="5D273DE0"/>
    <w:rsid w:val="5D2B27E7"/>
    <w:rsid w:val="5DB15504"/>
    <w:rsid w:val="5DE83E9E"/>
    <w:rsid w:val="5DEA73A2"/>
    <w:rsid w:val="5E0D4847"/>
    <w:rsid w:val="5E774A07"/>
    <w:rsid w:val="5E882E74"/>
    <w:rsid w:val="5EA57AD5"/>
    <w:rsid w:val="5F255E00"/>
    <w:rsid w:val="5F7601AD"/>
    <w:rsid w:val="5F7C7B38"/>
    <w:rsid w:val="5F8E7A52"/>
    <w:rsid w:val="5FAE2505"/>
    <w:rsid w:val="5FBA1B9B"/>
    <w:rsid w:val="5FC03AA5"/>
    <w:rsid w:val="5FF850C6"/>
    <w:rsid w:val="600A2C1F"/>
    <w:rsid w:val="600F12A5"/>
    <w:rsid w:val="60106D27"/>
    <w:rsid w:val="602A1982"/>
    <w:rsid w:val="607A0954"/>
    <w:rsid w:val="6093674C"/>
    <w:rsid w:val="60B146B2"/>
    <w:rsid w:val="60CC08DE"/>
    <w:rsid w:val="60CD61E0"/>
    <w:rsid w:val="60F715A3"/>
    <w:rsid w:val="60F97E9D"/>
    <w:rsid w:val="610E11C8"/>
    <w:rsid w:val="612A5275"/>
    <w:rsid w:val="613A550F"/>
    <w:rsid w:val="61931421"/>
    <w:rsid w:val="619E0AB7"/>
    <w:rsid w:val="61A11A3C"/>
    <w:rsid w:val="61EA78B2"/>
    <w:rsid w:val="61F50583"/>
    <w:rsid w:val="620C10EB"/>
    <w:rsid w:val="622C3B9E"/>
    <w:rsid w:val="62386962"/>
    <w:rsid w:val="625008DB"/>
    <w:rsid w:val="62695C01"/>
    <w:rsid w:val="626D4608"/>
    <w:rsid w:val="629E645C"/>
    <w:rsid w:val="62BA2508"/>
    <w:rsid w:val="6303631E"/>
    <w:rsid w:val="631C34A7"/>
    <w:rsid w:val="639F3A80"/>
    <w:rsid w:val="63B32720"/>
    <w:rsid w:val="63D17F9E"/>
    <w:rsid w:val="63E541F4"/>
    <w:rsid w:val="640D40B4"/>
    <w:rsid w:val="641B0E4B"/>
    <w:rsid w:val="641E665D"/>
    <w:rsid w:val="642052D3"/>
    <w:rsid w:val="643C1380"/>
    <w:rsid w:val="64403609"/>
    <w:rsid w:val="644E4597"/>
    <w:rsid w:val="646D6AED"/>
    <w:rsid w:val="64A4332E"/>
    <w:rsid w:val="64A864B1"/>
    <w:rsid w:val="64EF46A6"/>
    <w:rsid w:val="65083052"/>
    <w:rsid w:val="650C465E"/>
    <w:rsid w:val="651954EB"/>
    <w:rsid w:val="654C6FBE"/>
    <w:rsid w:val="656E29F6"/>
    <w:rsid w:val="65A2414A"/>
    <w:rsid w:val="65CA788D"/>
    <w:rsid w:val="65E14D38"/>
    <w:rsid w:val="65E579AD"/>
    <w:rsid w:val="66025468"/>
    <w:rsid w:val="660563ED"/>
    <w:rsid w:val="661F4D98"/>
    <w:rsid w:val="662B4F9A"/>
    <w:rsid w:val="66360241"/>
    <w:rsid w:val="667808A5"/>
    <w:rsid w:val="66A96EFB"/>
    <w:rsid w:val="66C52FA8"/>
    <w:rsid w:val="66CF7E12"/>
    <w:rsid w:val="66DB514B"/>
    <w:rsid w:val="66E75E27"/>
    <w:rsid w:val="67092797"/>
    <w:rsid w:val="67184FB0"/>
    <w:rsid w:val="67673E36"/>
    <w:rsid w:val="6767412F"/>
    <w:rsid w:val="67A7359A"/>
    <w:rsid w:val="67C32ECB"/>
    <w:rsid w:val="67C718D1"/>
    <w:rsid w:val="67E36C7A"/>
    <w:rsid w:val="680726BA"/>
    <w:rsid w:val="68213264"/>
    <w:rsid w:val="682A438F"/>
    <w:rsid w:val="68344483"/>
    <w:rsid w:val="68503DB3"/>
    <w:rsid w:val="68624F20"/>
    <w:rsid w:val="6870183D"/>
    <w:rsid w:val="68A2033A"/>
    <w:rsid w:val="68C504EF"/>
    <w:rsid w:val="69010354"/>
    <w:rsid w:val="69033857"/>
    <w:rsid w:val="69111530"/>
    <w:rsid w:val="691E5706"/>
    <w:rsid w:val="6923630A"/>
    <w:rsid w:val="69711CCD"/>
    <w:rsid w:val="69A27EDD"/>
    <w:rsid w:val="69AD29EB"/>
    <w:rsid w:val="69B82081"/>
    <w:rsid w:val="69CA3620"/>
    <w:rsid w:val="69CA7D9D"/>
    <w:rsid w:val="6A0568FD"/>
    <w:rsid w:val="6A1D1DA5"/>
    <w:rsid w:val="6A2D21C3"/>
    <w:rsid w:val="6A5E280F"/>
    <w:rsid w:val="6A7214AF"/>
    <w:rsid w:val="6A9E35F8"/>
    <w:rsid w:val="6B3602F4"/>
    <w:rsid w:val="6B422321"/>
    <w:rsid w:val="6B6E7213"/>
    <w:rsid w:val="6B7226D7"/>
    <w:rsid w:val="6B914D8D"/>
    <w:rsid w:val="6BA01F21"/>
    <w:rsid w:val="6BD15F74"/>
    <w:rsid w:val="6BD623FB"/>
    <w:rsid w:val="6BFD03E4"/>
    <w:rsid w:val="6C2F4AF2"/>
    <w:rsid w:val="6C313A0F"/>
    <w:rsid w:val="6C416227"/>
    <w:rsid w:val="6C5703CB"/>
    <w:rsid w:val="6C5E57D7"/>
    <w:rsid w:val="6C6D7436"/>
    <w:rsid w:val="6C891E9F"/>
    <w:rsid w:val="6CC805B2"/>
    <w:rsid w:val="6CCC5E0B"/>
    <w:rsid w:val="6CF724D3"/>
    <w:rsid w:val="6D121871"/>
    <w:rsid w:val="6D1B140E"/>
    <w:rsid w:val="6D2D712A"/>
    <w:rsid w:val="6D6A2812"/>
    <w:rsid w:val="6D6F0E98"/>
    <w:rsid w:val="6D813038"/>
    <w:rsid w:val="6D947740"/>
    <w:rsid w:val="6DA11102"/>
    <w:rsid w:val="6DBB3515"/>
    <w:rsid w:val="6DC30922"/>
    <w:rsid w:val="6DEC1AE6"/>
    <w:rsid w:val="6EB56FB1"/>
    <w:rsid w:val="6F085736"/>
    <w:rsid w:val="6F2F55F5"/>
    <w:rsid w:val="6F306560"/>
    <w:rsid w:val="6F663E02"/>
    <w:rsid w:val="6FA974BD"/>
    <w:rsid w:val="6FBA1D55"/>
    <w:rsid w:val="6FE67322"/>
    <w:rsid w:val="701D527E"/>
    <w:rsid w:val="70231C25"/>
    <w:rsid w:val="704F6D52"/>
    <w:rsid w:val="70625B7B"/>
    <w:rsid w:val="70876EAC"/>
    <w:rsid w:val="70F10AD9"/>
    <w:rsid w:val="71255AB0"/>
    <w:rsid w:val="71465FE5"/>
    <w:rsid w:val="7150308A"/>
    <w:rsid w:val="71597204"/>
    <w:rsid w:val="717B0243"/>
    <w:rsid w:val="719C3171"/>
    <w:rsid w:val="71A670BA"/>
    <w:rsid w:val="71AF2191"/>
    <w:rsid w:val="71C233B0"/>
    <w:rsid w:val="71D545CF"/>
    <w:rsid w:val="71F21981"/>
    <w:rsid w:val="71FB480F"/>
    <w:rsid w:val="722A1ADB"/>
    <w:rsid w:val="726254B8"/>
    <w:rsid w:val="72BA00C5"/>
    <w:rsid w:val="72BB4E08"/>
    <w:rsid w:val="72BE485C"/>
    <w:rsid w:val="72FF663B"/>
    <w:rsid w:val="730541A5"/>
    <w:rsid w:val="73231CF3"/>
    <w:rsid w:val="736D6C6F"/>
    <w:rsid w:val="738E13A2"/>
    <w:rsid w:val="73A722CC"/>
    <w:rsid w:val="73CC6C88"/>
    <w:rsid w:val="73EB0D53"/>
    <w:rsid w:val="7427609D"/>
    <w:rsid w:val="74563369"/>
    <w:rsid w:val="74680181"/>
    <w:rsid w:val="7499095B"/>
    <w:rsid w:val="74B31BEE"/>
    <w:rsid w:val="74EA165E"/>
    <w:rsid w:val="75117320"/>
    <w:rsid w:val="751C56B1"/>
    <w:rsid w:val="75234649"/>
    <w:rsid w:val="75557901"/>
    <w:rsid w:val="75E43E1F"/>
    <w:rsid w:val="76016C28"/>
    <w:rsid w:val="76043E58"/>
    <w:rsid w:val="76070B31"/>
    <w:rsid w:val="76587637"/>
    <w:rsid w:val="765F4A43"/>
    <w:rsid w:val="76756BE7"/>
    <w:rsid w:val="768B0D8B"/>
    <w:rsid w:val="768D5C0B"/>
    <w:rsid w:val="76A07A2B"/>
    <w:rsid w:val="76B0048A"/>
    <w:rsid w:val="76F04D5F"/>
    <w:rsid w:val="77276A0B"/>
    <w:rsid w:val="77311518"/>
    <w:rsid w:val="777E4E9B"/>
    <w:rsid w:val="77D67AA8"/>
    <w:rsid w:val="77FE53E9"/>
    <w:rsid w:val="7843265A"/>
    <w:rsid w:val="78913A5E"/>
    <w:rsid w:val="79147BBC"/>
    <w:rsid w:val="791F0D44"/>
    <w:rsid w:val="792A70D5"/>
    <w:rsid w:val="796A639A"/>
    <w:rsid w:val="7970564B"/>
    <w:rsid w:val="799022FC"/>
    <w:rsid w:val="79980C33"/>
    <w:rsid w:val="79A044B0"/>
    <w:rsid w:val="79B85A3F"/>
    <w:rsid w:val="79EA35FD"/>
    <w:rsid w:val="7A03263B"/>
    <w:rsid w:val="7A057D3D"/>
    <w:rsid w:val="7A0B54C9"/>
    <w:rsid w:val="7A3D151B"/>
    <w:rsid w:val="7A4C04B1"/>
    <w:rsid w:val="7A6D6467"/>
    <w:rsid w:val="7A8B129B"/>
    <w:rsid w:val="7A920C25"/>
    <w:rsid w:val="7A9E734F"/>
    <w:rsid w:val="7AA159BD"/>
    <w:rsid w:val="7AB4245F"/>
    <w:rsid w:val="7AC41596"/>
    <w:rsid w:val="7AC96B81"/>
    <w:rsid w:val="7ACB6801"/>
    <w:rsid w:val="7ACD1D04"/>
    <w:rsid w:val="7AD44F12"/>
    <w:rsid w:val="7B2A7E9F"/>
    <w:rsid w:val="7B3769CC"/>
    <w:rsid w:val="7B3A013A"/>
    <w:rsid w:val="7BDD4DDA"/>
    <w:rsid w:val="7BEC215B"/>
    <w:rsid w:val="7C476FF2"/>
    <w:rsid w:val="7C5C5C93"/>
    <w:rsid w:val="7C9D7D81"/>
    <w:rsid w:val="7CBA3AAE"/>
    <w:rsid w:val="7CEA207E"/>
    <w:rsid w:val="7CF5040F"/>
    <w:rsid w:val="7D0D0F1C"/>
    <w:rsid w:val="7D19734A"/>
    <w:rsid w:val="7D1F1254"/>
    <w:rsid w:val="7D2334DD"/>
    <w:rsid w:val="7D264462"/>
    <w:rsid w:val="7D271EE3"/>
    <w:rsid w:val="7D40500C"/>
    <w:rsid w:val="7D5B6EBA"/>
    <w:rsid w:val="7D867CFE"/>
    <w:rsid w:val="7D8B6384"/>
    <w:rsid w:val="7D996755"/>
    <w:rsid w:val="7D9F2E27"/>
    <w:rsid w:val="7DC242E0"/>
    <w:rsid w:val="7DDE038D"/>
    <w:rsid w:val="7DEA7A23"/>
    <w:rsid w:val="7DF0192C"/>
    <w:rsid w:val="7DF76D39"/>
    <w:rsid w:val="7E070738"/>
    <w:rsid w:val="7E1D36F5"/>
    <w:rsid w:val="7E1E3650"/>
    <w:rsid w:val="7E294F89"/>
    <w:rsid w:val="7E6263E8"/>
    <w:rsid w:val="7E765088"/>
    <w:rsid w:val="7E8C15C8"/>
    <w:rsid w:val="7E987174"/>
    <w:rsid w:val="7EAF2C64"/>
    <w:rsid w:val="7F097E7A"/>
    <w:rsid w:val="7F3B60CB"/>
    <w:rsid w:val="7F4F4D6C"/>
    <w:rsid w:val="7F8477C4"/>
    <w:rsid w:val="7FA347F6"/>
    <w:rsid w:val="7FBC31A1"/>
    <w:rsid w:val="7FFC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szCs w:val="32"/>
    </w:rPr>
  </w:style>
  <w:style w:type="paragraph" w:styleId="6">
    <w:name w:val="heading 3"/>
    <w:basedOn w:val="1"/>
    <w:next w:val="1"/>
    <w:qFormat/>
    <w:uiPriority w:val="0"/>
    <w:pPr>
      <w:keepNext/>
      <w:keepLines/>
      <w:spacing w:before="260" w:after="260" w:line="415" w:lineRule="auto"/>
      <w:outlineLvl w:val="2"/>
    </w:pPr>
    <w:rPr>
      <w:b/>
      <w:sz w:val="32"/>
      <w:szCs w:val="32"/>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7">
    <w:name w:val="Normal Indent"/>
    <w:basedOn w:val="1"/>
    <w:link w:val="31"/>
    <w:qFormat/>
    <w:uiPriority w:val="0"/>
    <w:pPr>
      <w:ind w:firstLine="420" w:firstLineChars="200"/>
    </w:pPr>
    <w:rPr>
      <w:rFonts w:ascii="Times New Roman"/>
      <w:kern w:val="2"/>
      <w:sz w:val="21"/>
      <w:szCs w:val="24"/>
    </w:rPr>
  </w:style>
  <w:style w:type="paragraph" w:styleId="8">
    <w:name w:val="annotation text"/>
    <w:basedOn w:val="1"/>
    <w:qFormat/>
    <w:uiPriority w:val="0"/>
    <w:pPr>
      <w:jc w:val="left"/>
    </w:pPr>
    <w:rPr>
      <w:rFonts w:ascii="Times New Roman"/>
    </w:rPr>
  </w:style>
  <w:style w:type="paragraph" w:styleId="9">
    <w:name w:val="Body Text"/>
    <w:basedOn w:val="1"/>
    <w:qFormat/>
    <w:uiPriority w:val="0"/>
    <w:pPr>
      <w:spacing w:after="120"/>
    </w:pPr>
    <w:rPr>
      <w:rFonts w:ascii="Times New Roman"/>
    </w:rPr>
  </w:style>
  <w:style w:type="paragraph" w:styleId="10">
    <w:name w:val="Body Text Indent"/>
    <w:basedOn w:val="1"/>
    <w:link w:val="39"/>
    <w:qFormat/>
    <w:uiPriority w:val="0"/>
    <w:pPr>
      <w:ind w:firstLine="630"/>
    </w:pPr>
    <w:rPr>
      <w:rFonts w:ascii="Times New Roman"/>
      <w:kern w:val="2"/>
      <w:sz w:val="32"/>
    </w:rPr>
  </w:style>
  <w:style w:type="paragraph" w:styleId="11">
    <w:name w:val="Plain Text"/>
    <w:basedOn w:val="1"/>
    <w:link w:val="48"/>
    <w:qFormat/>
    <w:uiPriority w:val="0"/>
    <w:rPr>
      <w:rFonts w:hAnsi="Courier New"/>
      <w:kern w:val="2"/>
      <w:sz w:val="21"/>
    </w:rPr>
  </w:style>
  <w:style w:type="paragraph" w:styleId="12">
    <w:name w:val="Body Text Indent 2"/>
    <w:basedOn w:val="1"/>
    <w:qFormat/>
    <w:uiPriority w:val="0"/>
    <w:pPr>
      <w:ind w:firstLine="630"/>
    </w:pPr>
    <w:rPr>
      <w:sz w:val="32"/>
      <w:szCs w:val="32"/>
    </w:rPr>
  </w:style>
  <w:style w:type="paragraph" w:styleId="13">
    <w:name w:val="Balloon Text"/>
    <w:basedOn w:val="1"/>
    <w:qFormat/>
    <w:uiPriority w:val="0"/>
    <w:rPr>
      <w:rFonts w:ascii="Times New Roman"/>
      <w:sz w:val="18"/>
      <w:szCs w:val="18"/>
    </w:rPr>
  </w:style>
  <w:style w:type="paragraph" w:styleId="14">
    <w:name w:val="footer"/>
    <w:basedOn w:val="1"/>
    <w:qFormat/>
    <w:uiPriority w:val="0"/>
    <w:pPr>
      <w:tabs>
        <w:tab w:val="center" w:pos="4140"/>
        <w:tab w:val="right" w:pos="8300"/>
      </w:tabs>
      <w:jc w:val="left"/>
    </w:pPr>
    <w:rPr>
      <w:sz w:val="18"/>
      <w:szCs w:val="18"/>
    </w:rPr>
  </w:style>
  <w:style w:type="paragraph" w:styleId="15">
    <w:name w:val="header"/>
    <w:basedOn w:val="1"/>
    <w:qFormat/>
    <w:uiPriority w:val="0"/>
    <w:pPr>
      <w:pBdr>
        <w:bottom w:val="single" w:color="000000" w:sz="6" w:space="1"/>
      </w:pBdr>
      <w:tabs>
        <w:tab w:val="center" w:pos="4140"/>
        <w:tab w:val="right" w:pos="8300"/>
      </w:tabs>
      <w:snapToGrid w:val="0"/>
      <w:jc w:val="center"/>
    </w:pPr>
    <w:rPr>
      <w:sz w:val="18"/>
    </w:rPr>
  </w:style>
  <w:style w:type="paragraph" w:styleId="16">
    <w:name w:val="toc 1"/>
    <w:basedOn w:val="1"/>
    <w:next w:val="1"/>
    <w:qFormat/>
    <w:uiPriority w:val="0"/>
  </w:style>
  <w:style w:type="paragraph" w:styleId="17">
    <w:name w:val="Body Text Indent 3"/>
    <w:basedOn w:val="1"/>
    <w:qFormat/>
    <w:uiPriority w:val="0"/>
    <w:pPr>
      <w:spacing w:after="120"/>
      <w:ind w:left="420" w:leftChars="200"/>
    </w:pPr>
    <w:rPr>
      <w:rFonts w:ascii="Times New Roman"/>
      <w:sz w:val="16"/>
      <w:szCs w:val="16"/>
    </w:rPr>
  </w:style>
  <w:style w:type="paragraph" w:styleId="18">
    <w:name w:val="toc 2"/>
    <w:basedOn w:val="1"/>
    <w:next w:val="1"/>
    <w:qFormat/>
    <w:uiPriority w:val="0"/>
    <w:pPr>
      <w:ind w:left="420" w:leftChars="200"/>
    </w:pPr>
    <w:rPr>
      <w:rFonts w:ascii="Times New Roman"/>
    </w:rPr>
  </w:style>
  <w:style w:type="paragraph" w:styleId="19">
    <w:name w:val="Body Text 2"/>
    <w:basedOn w:val="1"/>
    <w:qFormat/>
    <w:uiPriority w:val="0"/>
    <w:pPr>
      <w:spacing w:line="480" w:lineRule="auto"/>
    </w:pPr>
    <w:rPr>
      <w:rFonts w:ascii="Times New Roman"/>
    </w:rPr>
  </w:style>
  <w:style w:type="paragraph" w:styleId="20">
    <w:name w:val="Normal (Web)"/>
    <w:basedOn w:val="1"/>
    <w:qFormat/>
    <w:uiPriority w:val="0"/>
    <w:pPr>
      <w:widowControl/>
      <w:spacing w:before="100" w:beforeAutospacing="1" w:after="100" w:afterAutospacing="1"/>
      <w:jc w:val="left"/>
    </w:pPr>
    <w:rPr>
      <w:rFonts w:hAnsi="宋体"/>
      <w:sz w:val="18"/>
      <w:szCs w:val="18"/>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rFonts w:ascii="Times New Roman" w:hAnsi="Times New Roman" w:eastAsia="宋体" w:cs="Times New Roman"/>
      <w:b/>
      <w:bCs/>
    </w:rPr>
  </w:style>
  <w:style w:type="character" w:styleId="25">
    <w:name w:val="page number"/>
    <w:qFormat/>
    <w:uiPriority w:val="0"/>
    <w:rPr>
      <w:rFonts w:ascii="Times New Roman" w:hAnsi="Times New Roman" w:eastAsia="宋体" w:cs="Times New Roman"/>
    </w:rPr>
  </w:style>
  <w:style w:type="character" w:styleId="26">
    <w:name w:val="FollowedHyperlink"/>
    <w:qFormat/>
    <w:uiPriority w:val="0"/>
    <w:rPr>
      <w:rFonts w:ascii="Arial" w:hAnsi="Arial" w:eastAsia="宋体" w:cs="Arial"/>
      <w:color w:val="007CD2"/>
      <w:sz w:val="24"/>
      <w:szCs w:val="24"/>
      <w:u w:val="none"/>
    </w:rPr>
  </w:style>
  <w:style w:type="character" w:styleId="27">
    <w:name w:val="Hyperlink"/>
    <w:qFormat/>
    <w:uiPriority w:val="0"/>
    <w:rPr>
      <w:rFonts w:ascii="Times New Roman" w:hAnsi="Times New Roman" w:eastAsia="宋体" w:cs="Times New Roman"/>
      <w:color w:val="0000FF"/>
      <w:u w:val="single"/>
    </w:rPr>
  </w:style>
  <w:style w:type="character" w:styleId="28">
    <w:name w:val="annotation reference"/>
    <w:qFormat/>
    <w:uiPriority w:val="0"/>
    <w:rPr>
      <w:rFonts w:cs="Times New Roman"/>
      <w:sz w:val="21"/>
      <w:szCs w:val="21"/>
    </w:rPr>
  </w:style>
  <w:style w:type="character" w:customStyle="1" w:styleId="29">
    <w:name w:val="font31"/>
    <w:qFormat/>
    <w:uiPriority w:val="0"/>
    <w:rPr>
      <w:rFonts w:hint="eastAsia" w:ascii="宋体" w:hAnsi="宋体" w:eastAsia="宋体" w:cs="宋体"/>
      <w:b/>
      <w:color w:val="000000"/>
      <w:sz w:val="22"/>
      <w:szCs w:val="22"/>
      <w:u w:val="none"/>
    </w:rPr>
  </w:style>
  <w:style w:type="character" w:customStyle="1" w:styleId="30">
    <w:name w:val="style1"/>
    <w:qFormat/>
    <w:uiPriority w:val="0"/>
    <w:rPr>
      <w:rFonts w:ascii="Times New Roman" w:hAnsi="Times New Roman" w:eastAsia="宋体" w:cs="Times New Roman"/>
    </w:rPr>
  </w:style>
  <w:style w:type="character" w:customStyle="1" w:styleId="31">
    <w:name w:val="正文缩进 Char"/>
    <w:link w:val="7"/>
    <w:qFormat/>
    <w:uiPriority w:val="0"/>
    <w:rPr>
      <w:rFonts w:ascii="Times New Roman" w:hAnsi="Times New Roman" w:eastAsia="宋体" w:cs="Times New Roman"/>
      <w:kern w:val="2"/>
      <w:sz w:val="21"/>
      <w:szCs w:val="24"/>
      <w:lang w:val="en-US" w:eastAsia="zh-CN" w:bidi="ar-SA"/>
    </w:rPr>
  </w:style>
  <w:style w:type="character" w:customStyle="1" w:styleId="32">
    <w:name w:val="apple-converted-space"/>
    <w:qFormat/>
    <w:uiPriority w:val="0"/>
    <w:rPr>
      <w:rFonts w:ascii="Times New Roman" w:hAnsi="Times New Roman" w:eastAsia="宋体" w:cs="Times New Roman"/>
    </w:rPr>
  </w:style>
  <w:style w:type="character" w:customStyle="1" w:styleId="33">
    <w:name w:val="font81"/>
    <w:qFormat/>
    <w:uiPriority w:val="0"/>
    <w:rPr>
      <w:rFonts w:hint="eastAsia" w:ascii="宋体" w:hAnsi="宋体" w:eastAsia="宋体" w:cs="宋体"/>
      <w:b/>
      <w:color w:val="000000"/>
      <w:sz w:val="22"/>
      <w:szCs w:val="22"/>
      <w:u w:val="none"/>
    </w:rPr>
  </w:style>
  <w:style w:type="character" w:customStyle="1" w:styleId="34">
    <w:name w:val="tdrownotice1"/>
    <w:qFormat/>
    <w:uiPriority w:val="0"/>
    <w:rPr>
      <w:rFonts w:hint="default" w:ascii="Times New Roman" w:hAnsi="Times New Roman" w:eastAsia="宋体" w:cs="Times New Roman"/>
      <w:sz w:val="22"/>
    </w:rPr>
  </w:style>
  <w:style w:type="character" w:customStyle="1" w:styleId="35">
    <w:name w:val="表正文 Char1"/>
    <w:qFormat/>
    <w:uiPriority w:val="0"/>
    <w:rPr>
      <w:rFonts w:ascii="Times New Roman" w:hAnsi="Times New Roman" w:eastAsia="宋体" w:cs="Times New Roman"/>
      <w:kern w:val="2"/>
      <w:sz w:val="21"/>
      <w:szCs w:val="24"/>
      <w:lang w:val="en-US" w:eastAsia="zh-CN" w:bidi="ar-SA"/>
    </w:rPr>
  </w:style>
  <w:style w:type="character" w:customStyle="1" w:styleId="36">
    <w:name w:val="font61"/>
    <w:qFormat/>
    <w:uiPriority w:val="0"/>
    <w:rPr>
      <w:rFonts w:hint="eastAsia" w:ascii="微软雅黑" w:hAnsi="微软雅黑" w:eastAsia="微软雅黑" w:cs="微软雅黑"/>
      <w:b/>
      <w:color w:val="000000"/>
      <w:sz w:val="22"/>
      <w:szCs w:val="22"/>
      <w:u w:val="none"/>
    </w:rPr>
  </w:style>
  <w:style w:type="character" w:customStyle="1" w:styleId="37">
    <w:name w:val="font71"/>
    <w:qFormat/>
    <w:uiPriority w:val="0"/>
    <w:rPr>
      <w:rFonts w:hint="eastAsia" w:ascii="宋体" w:hAnsi="宋体" w:eastAsia="宋体" w:cs="宋体"/>
      <w:color w:val="000000"/>
      <w:sz w:val="20"/>
      <w:szCs w:val="20"/>
      <w:u w:val="none"/>
    </w:rPr>
  </w:style>
  <w:style w:type="character" w:customStyle="1" w:styleId="38">
    <w:name w:val="font01"/>
    <w:qFormat/>
    <w:uiPriority w:val="0"/>
    <w:rPr>
      <w:rFonts w:hint="eastAsia" w:ascii="宋体" w:hAnsi="宋体" w:eastAsia="宋体" w:cs="宋体"/>
      <w:i/>
      <w:color w:val="000000"/>
      <w:sz w:val="20"/>
      <w:szCs w:val="20"/>
      <w:u w:val="none"/>
    </w:rPr>
  </w:style>
  <w:style w:type="character" w:customStyle="1" w:styleId="39">
    <w:name w:val="正文文本缩进 Char"/>
    <w:link w:val="10"/>
    <w:qFormat/>
    <w:uiPriority w:val="0"/>
    <w:rPr>
      <w:rFonts w:ascii="Times New Roman" w:hAnsi="Times New Roman" w:eastAsia="宋体" w:cs="Times New Roman"/>
      <w:kern w:val="2"/>
      <w:sz w:val="32"/>
      <w:lang w:val="en-US" w:eastAsia="zh-CN" w:bidi="ar-SA"/>
    </w:rPr>
  </w:style>
  <w:style w:type="character" w:customStyle="1" w:styleId="40">
    <w:name w:val="页码1"/>
    <w:qFormat/>
    <w:uiPriority w:val="0"/>
    <w:rPr>
      <w:rFonts w:ascii="Times New Roman" w:hAnsi="Times New Roman" w:eastAsia="宋体" w:cs="Times New Roman"/>
    </w:rPr>
  </w:style>
  <w:style w:type="character" w:customStyle="1" w:styleId="41">
    <w:name w:val="font41"/>
    <w:qFormat/>
    <w:uiPriority w:val="0"/>
    <w:rPr>
      <w:rFonts w:hint="eastAsia" w:ascii="宋体" w:hAnsi="宋体" w:eastAsia="宋体" w:cs="宋体"/>
      <w:color w:val="000000"/>
      <w:sz w:val="24"/>
      <w:szCs w:val="24"/>
      <w:u w:val="none"/>
    </w:rPr>
  </w:style>
  <w:style w:type="character" w:customStyle="1" w:styleId="42">
    <w:name w:val="font111"/>
    <w:qFormat/>
    <w:uiPriority w:val="0"/>
    <w:rPr>
      <w:rFonts w:hint="eastAsia" w:ascii="宋体" w:hAnsi="宋体" w:eastAsia="宋体" w:cs="宋体"/>
      <w:b/>
      <w:color w:val="000000"/>
      <w:sz w:val="32"/>
      <w:szCs w:val="32"/>
      <w:u w:val="none"/>
    </w:rPr>
  </w:style>
  <w:style w:type="character" w:customStyle="1" w:styleId="43">
    <w:name w:val="（符号）邀请函中一、"/>
    <w:qFormat/>
    <w:uiPriority w:val="0"/>
    <w:rPr>
      <w:rFonts w:ascii="黑体" w:hAnsi="黑体" w:eastAsia="黑体" w:cs="Times New Roman"/>
      <w:b/>
      <w:bCs/>
      <w:sz w:val="24"/>
    </w:rPr>
  </w:style>
  <w:style w:type="character" w:customStyle="1" w:styleId="44">
    <w:name w:val="font11"/>
    <w:qFormat/>
    <w:uiPriority w:val="0"/>
    <w:rPr>
      <w:rFonts w:hint="eastAsia" w:ascii="宋体" w:hAnsi="宋体" w:eastAsia="宋体" w:cs="宋体"/>
      <w:color w:val="000000"/>
      <w:sz w:val="24"/>
      <w:szCs w:val="24"/>
      <w:u w:val="none"/>
    </w:rPr>
  </w:style>
  <w:style w:type="character" w:customStyle="1" w:styleId="45">
    <w:name w:val="font21"/>
    <w:qFormat/>
    <w:uiPriority w:val="0"/>
    <w:rPr>
      <w:rFonts w:hint="eastAsia" w:ascii="宋体" w:hAnsi="宋体" w:eastAsia="宋体" w:cs="宋体"/>
      <w:color w:val="000000"/>
      <w:sz w:val="20"/>
      <w:szCs w:val="20"/>
      <w:u w:val="none"/>
    </w:rPr>
  </w:style>
  <w:style w:type="character" w:customStyle="1" w:styleId="46">
    <w:name w:val="左对齐的表内文字 Char"/>
    <w:link w:val="47"/>
    <w:qFormat/>
    <w:uiPriority w:val="0"/>
    <w:rPr>
      <w:rFonts w:ascii="Times New Roman" w:hAnsi="Times New Roman" w:eastAsia="仿宋_GB2312" w:cs="Times New Roman"/>
      <w:kern w:val="2"/>
      <w:sz w:val="21"/>
      <w:lang w:bidi="ar-SA"/>
    </w:rPr>
  </w:style>
  <w:style w:type="paragraph" w:customStyle="1" w:styleId="47">
    <w:name w:val="左对齐的表内文字"/>
    <w:basedOn w:val="1"/>
    <w:link w:val="46"/>
    <w:qFormat/>
    <w:uiPriority w:val="0"/>
    <w:rPr>
      <w:rFonts w:ascii="Times New Roman" w:eastAsia="仿宋_GB2312"/>
      <w:kern w:val="2"/>
      <w:sz w:val="21"/>
    </w:rPr>
  </w:style>
  <w:style w:type="character" w:customStyle="1" w:styleId="48">
    <w:name w:val="纯文本 Char"/>
    <w:link w:val="11"/>
    <w:qFormat/>
    <w:uiPriority w:val="0"/>
    <w:rPr>
      <w:rFonts w:ascii="宋体" w:hAnsi="Courier New" w:eastAsia="宋体" w:cs="Times New Roman"/>
      <w:kern w:val="2"/>
      <w:sz w:val="21"/>
      <w:lang w:val="en-US" w:eastAsia="zh-CN" w:bidi="ar-SA"/>
    </w:rPr>
  </w:style>
  <w:style w:type="paragraph" w:customStyle="1" w:styleId="49">
    <w:name w:val="_Style 3"/>
    <w:basedOn w:val="1"/>
    <w:qFormat/>
    <w:uiPriority w:val="34"/>
    <w:pPr>
      <w:ind w:firstLine="420" w:firstLineChars="200"/>
    </w:pPr>
  </w:style>
  <w:style w:type="paragraph" w:customStyle="1" w:styleId="50">
    <w:name w:val="kerning2lochf13hichaf2db"/>
    <w:qFormat/>
    <w:uiPriority w:val="0"/>
    <w:pPr>
      <w:widowControl w:val="0"/>
      <w:autoSpaceDE w:val="0"/>
      <w:autoSpaceDN w:val="0"/>
      <w:adjustRightInd w:val="0"/>
      <w:jc w:val="both"/>
    </w:pPr>
    <w:rPr>
      <w:rFonts w:ascii="Calibri" w:hAnsi="Calibri" w:eastAsia="宋体" w:cs="Times New Roman"/>
      <w:sz w:val="21"/>
      <w:szCs w:val="21"/>
      <w:lang w:val="en-US" w:eastAsia="zh-CN" w:bidi="ar-SA"/>
    </w:rPr>
  </w:style>
  <w:style w:type="paragraph" w:customStyle="1" w:styleId="51">
    <w:name w:val="_Style 2"/>
    <w:basedOn w:val="1"/>
    <w:qFormat/>
    <w:uiPriority w:val="34"/>
    <w:pPr>
      <w:ind w:firstLine="420" w:firstLineChars="200"/>
    </w:pPr>
    <w:rPr>
      <w:rFonts w:ascii="Calibri"/>
    </w:rPr>
  </w:style>
  <w:style w:type="paragraph" w:customStyle="1" w:styleId="52">
    <w:name w:val="标准文本"/>
    <w:basedOn w:val="1"/>
    <w:qFormat/>
    <w:uiPriority w:val="0"/>
    <w:pPr>
      <w:spacing w:line="360" w:lineRule="auto"/>
      <w:ind w:firstLine="480" w:firstLineChars="200"/>
    </w:pPr>
    <w:rPr>
      <w:rFonts w:ascii="Times New Roman" w:cs="宋体"/>
      <w:sz w:val="24"/>
    </w:rPr>
  </w:style>
  <w:style w:type="paragraph" w:customStyle="1" w:styleId="53">
    <w:name w:val="正文缩进3"/>
    <w:basedOn w:val="1"/>
    <w:qFormat/>
    <w:uiPriority w:val="0"/>
    <w:pPr>
      <w:autoSpaceDE w:val="0"/>
      <w:autoSpaceDN w:val="0"/>
      <w:adjustRightInd w:val="0"/>
      <w:ind w:firstLine="420"/>
    </w:pPr>
    <w:rPr>
      <w:rFonts w:ascii="Times New Roman"/>
      <w:szCs w:val="21"/>
    </w:rPr>
  </w:style>
  <w:style w:type="paragraph" w:customStyle="1" w:styleId="54">
    <w:name w:val="表格"/>
    <w:basedOn w:val="1"/>
    <w:qFormat/>
    <w:uiPriority w:val="0"/>
    <w:pPr>
      <w:spacing w:line="400" w:lineRule="exact"/>
    </w:pPr>
    <w:rPr>
      <w:rFonts w:ascii="Times New Roman"/>
      <w:sz w:val="24"/>
    </w:rPr>
  </w:style>
  <w:style w:type="paragraph" w:styleId="55">
    <w:name w:val="List Paragraph"/>
    <w:basedOn w:val="1"/>
    <w:qFormat/>
    <w:uiPriority w:val="0"/>
    <w:pPr>
      <w:ind w:firstLine="420" w:firstLineChars="200"/>
    </w:pPr>
    <w:rPr>
      <w:rFonts w:ascii="Times New Roman"/>
      <w:sz w:val="18"/>
      <w:szCs w:val="18"/>
    </w:rPr>
  </w:style>
  <w:style w:type="paragraph" w:customStyle="1" w:styleId="56">
    <w:name w:val="Char1 Char Char Char"/>
    <w:basedOn w:val="1"/>
    <w:qFormat/>
    <w:uiPriority w:val="0"/>
    <w:rPr>
      <w:rFonts w:ascii="Times New Roman" w:eastAsia="仿宋_GB2312"/>
      <w:sz w:val="28"/>
    </w:rPr>
  </w:style>
  <w:style w:type="paragraph" w:customStyle="1" w:styleId="57">
    <w:name w:val="正文首行缩进两字符"/>
    <w:basedOn w:val="1"/>
    <w:qFormat/>
    <w:uiPriority w:val="0"/>
    <w:pPr>
      <w:spacing w:line="360" w:lineRule="auto"/>
      <w:ind w:firstLine="200" w:firstLineChars="200"/>
    </w:pPr>
    <w:rPr>
      <w:rFonts w:ascii="Times New Roman"/>
    </w:rPr>
  </w:style>
  <w:style w:type="paragraph" w:customStyle="1" w:styleId="58">
    <w:name w:val="Body Text 22"/>
    <w:basedOn w:val="1"/>
    <w:qFormat/>
    <w:uiPriority w:val="0"/>
    <w:pPr>
      <w:adjustRightInd w:val="0"/>
      <w:spacing w:line="300" w:lineRule="auto"/>
      <w:jc w:val="center"/>
      <w:textAlignment w:val="baseline"/>
    </w:pPr>
    <w:rPr>
      <w:rFonts w:hAnsi="宋体"/>
      <w:sz w:val="24"/>
    </w:rPr>
  </w:style>
  <w:style w:type="paragraph" w:customStyle="1" w:styleId="5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0">
    <w:name w:val="列出段落1"/>
    <w:basedOn w:val="1"/>
    <w:qFormat/>
    <w:uiPriority w:val="0"/>
    <w:pPr>
      <w:ind w:firstLine="420" w:firstLineChars="200"/>
    </w:pPr>
    <w:rPr>
      <w:rFonts w:ascii="Times New Roman"/>
    </w:rPr>
  </w:style>
  <w:style w:type="paragraph" w:customStyle="1" w:styleId="61">
    <w:name w:val="p0"/>
    <w:basedOn w:val="1"/>
    <w:qFormat/>
    <w:uiPriority w:val="0"/>
    <w:pPr>
      <w:widowControl/>
    </w:pPr>
    <w:rPr>
      <w:rFonts w:ascii="Times New Roman"/>
      <w:szCs w:val="21"/>
    </w:rPr>
  </w:style>
  <w:style w:type="paragraph" w:customStyle="1" w:styleId="62">
    <w:name w:val="左对齐的表内文字1"/>
    <w:basedOn w:val="1"/>
    <w:qFormat/>
    <w:uiPriority w:val="0"/>
    <w:rPr>
      <w:rFonts w:ascii="Times New Roman"/>
    </w:rPr>
  </w:style>
  <w:style w:type="paragraph" w:customStyle="1" w:styleId="63">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64">
    <w:name w:val="List Paragraph1"/>
    <w:basedOn w:val="1"/>
    <w:qFormat/>
    <w:uiPriority w:val="0"/>
    <w:pPr>
      <w:ind w:firstLine="420" w:firstLineChars="200"/>
    </w:pPr>
    <w:rPr>
      <w:rFonts w:ascii="Times New Roman"/>
      <w:szCs w:val="34"/>
    </w:rPr>
  </w:style>
  <w:style w:type="paragraph" w:customStyle="1" w:styleId="65">
    <w:name w:val="0"/>
    <w:qFormat/>
    <w:uiPriority w:val="0"/>
    <w:pPr>
      <w:snapToGrid w:val="0"/>
    </w:pPr>
    <w:rPr>
      <w:rFonts w:ascii="Calibri" w:hAnsi="Calibri" w:eastAsia="宋体" w:cs="Times New Roman"/>
      <w:lang w:val="en-US" w:eastAsia="zh-CN" w:bidi="ar-SA"/>
    </w:rPr>
  </w:style>
  <w:style w:type="paragraph" w:customStyle="1" w:styleId="66">
    <w:name w:val="pa-8"/>
    <w:basedOn w:val="1"/>
    <w:qFormat/>
    <w:uiPriority w:val="0"/>
    <w:pPr>
      <w:widowControl/>
      <w:spacing w:before="150" w:after="150"/>
      <w:jc w:val="left"/>
    </w:pPr>
    <w:rPr>
      <w:rFonts w:hAnsi="宋体" w:cs="宋体"/>
      <w:sz w:val="24"/>
      <w:szCs w:val="24"/>
    </w:rPr>
  </w:style>
  <w:style w:type="paragraph" w:customStyle="1" w:styleId="67">
    <w:name w:val="+正文"/>
    <w:basedOn w:val="1"/>
    <w:qFormat/>
    <w:uiPriority w:val="0"/>
    <w:pPr>
      <w:spacing w:line="360" w:lineRule="auto"/>
      <w:ind w:firstLine="200" w:firstLineChars="200"/>
    </w:pPr>
    <w:rPr>
      <w:rFonts w:ascii="Times New Roman" w:eastAsia="楷体_GB2312"/>
      <w:szCs w:val="28"/>
    </w:rPr>
  </w:style>
  <w:style w:type="paragraph" w:styleId="68">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69">
    <w:name w:val="Char2"/>
    <w:basedOn w:val="1"/>
    <w:qFormat/>
    <w:uiPriority w:val="0"/>
    <w:pPr>
      <w:adjustRightInd w:val="0"/>
      <w:spacing w:line="400" w:lineRule="exact"/>
      <w:ind w:firstLine="480" w:firstLineChars="200"/>
    </w:pPr>
    <w:rPr>
      <w:rFonts w:ascii="Verdana" w:hAnsi="Verdana"/>
      <w:color w:val="800080"/>
      <w:sz w:val="24"/>
      <w:lang w:eastAsia="en-US"/>
    </w:rPr>
  </w:style>
  <w:style w:type="paragraph" w:customStyle="1" w:styleId="70">
    <w:name w:val="样式 首行缩进:  2 字符"/>
    <w:basedOn w:val="1"/>
    <w:qFormat/>
    <w:uiPriority w:val="0"/>
    <w:pPr>
      <w:spacing w:line="400" w:lineRule="exact"/>
      <w:ind w:firstLine="200" w:firstLineChars="200"/>
    </w:pPr>
    <w:rPr>
      <w:rFonts w:ascii="Times New Roman" w:cs="宋体"/>
      <w:sz w:val="24"/>
    </w:rPr>
  </w:style>
  <w:style w:type="paragraph" w:customStyle="1" w:styleId="71">
    <w:name w:val="规划正文"/>
    <w:basedOn w:val="1"/>
    <w:qFormat/>
    <w:uiPriority w:val="0"/>
    <w:pPr>
      <w:spacing w:beforeLines="100" w:line="360" w:lineRule="auto"/>
      <w:ind w:firstLine="200" w:firstLineChars="200"/>
      <w:jc w:val="left"/>
    </w:pPr>
    <w:rPr>
      <w:rFonts w:ascii="Arial" w:hAnsi="Arial" w:eastAsia="仿宋_GB2312"/>
      <w:bCs/>
      <w:sz w:val="28"/>
    </w:rPr>
  </w:style>
  <w:style w:type="paragraph" w:customStyle="1" w:styleId="7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73">
    <w:name w:val="首行缩进"/>
    <w:basedOn w:val="1"/>
    <w:qFormat/>
    <w:uiPriority w:val="99"/>
    <w:pPr>
      <w:spacing w:line="360" w:lineRule="auto"/>
      <w:ind w:firstLine="480" w:firstLineChars="200"/>
      <w:jc w:val="left"/>
    </w:pPr>
    <w:rPr>
      <w:rFonts w:hAnsi="宋体"/>
      <w:sz w:val="24"/>
    </w:rPr>
  </w:style>
  <w:style w:type="paragraph" w:customStyle="1" w:styleId="74">
    <w:name w:val="正文 A"/>
    <w:next w:val="75"/>
    <w:qFormat/>
    <w:uiPriority w:val="0"/>
    <w:pPr>
      <w:widowControl w:val="0"/>
      <w:spacing w:line="360" w:lineRule="auto"/>
      <w:ind w:firstLine="1648"/>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75">
    <w:name w:val="正文文本1"/>
    <w:qFormat/>
    <w:uiPriority w:val="0"/>
    <w:pPr>
      <w:framePr w:wrap="around" w:vAnchor="margin" w:hAnchor="text" w:y="1"/>
      <w:widowControl w:val="0"/>
      <w:spacing w:after="120"/>
      <w:jc w:val="both"/>
    </w:pPr>
    <w:rPr>
      <w:rFonts w:hint="eastAsia" w:ascii="Arial Unicode MS" w:hAnsi="Arial Unicode MS" w:eastAsia="Times New Roman"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www.levovo.com</Company>
  <Pages>24</Pages>
  <Words>1810</Words>
  <Characters>10322</Characters>
  <Lines>86</Lines>
  <Paragraphs>24</Paragraphs>
  <TotalTime>353</TotalTime>
  <ScaleCrop>false</ScaleCrop>
  <LinksUpToDate>false</LinksUpToDate>
  <CharactersWithSpaces>12108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2020-10-29T09:17:00Z</dcterms:created>
  <dc:creator>微软用户</dc:creator>
  <cp:lastModifiedBy>Administrator</cp:lastModifiedBy>
  <cp:lastPrinted>2015-08-20T10:29:00Z</cp:lastPrinted>
  <dcterms:modified xsi:type="dcterms:W3CDTF">2021-10-12T03:37:11Z</dcterms:modified>
  <dc:title>招标编号：SCSZ-2013-02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E7558D7948BD46B49D504D1EAC59F27E</vt:lpwstr>
  </property>
</Properties>
</file>